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7D63D9" w14:textId="3B2E57C7" w:rsidR="00F133C4" w:rsidRPr="001C33C1" w:rsidRDefault="00350773" w:rsidP="00F133C4">
      <w:pPr>
        <w:pStyle w:val="Title"/>
      </w:pPr>
      <w:sdt>
        <w:sdtPr>
          <w:alias w:val="Title"/>
          <w:tag w:val=""/>
          <w:id w:val="802579200"/>
          <w:dataBinding w:prefixMappings="xmlns:ns0='http://purl.org/dc/elements/1.1/' xmlns:ns1='http://schemas.openxmlformats.org/package/2006/metadata/core-properties' " w:xpath="/ns1:coreProperties[1]/ns0:title[1]" w:storeItemID="{6C3C8BC8-F283-45AE-878A-BAB7291924A1}"/>
          <w:text/>
        </w:sdtPr>
        <w:sdtEndPr/>
        <w:sdtContent>
          <w:r w:rsidR="008975BC">
            <w:t>Cattle tick risk management plan template for NSW feedlots</w:t>
          </w:r>
        </w:sdtContent>
      </w:sdt>
    </w:p>
    <w:p w14:paraId="215D821C" w14:textId="77777777" w:rsidR="000D156D" w:rsidRPr="000D156D" w:rsidRDefault="000D156D" w:rsidP="000D156D"/>
    <w:sdt>
      <w:sdtPr>
        <w:alias w:val="Subject"/>
        <w:tag w:val=""/>
        <w:id w:val="1399404051"/>
        <w:placeholder>
          <w:docPart w:val="686E3D087AFE48EFBFCC7414CFDAD2FC"/>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1B551D8D" w14:textId="0FF149E9" w:rsidR="00C85F4A" w:rsidRPr="00CA041D" w:rsidRDefault="00F133C4" w:rsidP="00C85F4A">
          <w:pPr>
            <w:pStyle w:val="introductiontext"/>
          </w:pPr>
          <w:r w:rsidRPr="00F133C4">
            <w:t>This cattle tick management plan is being implemented in full in order to be eligible for concessional movement requirements for cattle moving to the feedlot from cattle tick infested areas. This plan will be incorporated into the Quality Assurance protocols for the feedlot and will be audited regularly</w:t>
          </w:r>
        </w:p>
      </w:sdtContent>
    </w:sdt>
    <w:p w14:paraId="68193A57" w14:textId="77777777" w:rsidR="0005152D" w:rsidRPr="004676C2" w:rsidRDefault="0005152D" w:rsidP="009B54E4">
      <w:pPr>
        <w:rPr>
          <w:b/>
          <w:bCs/>
        </w:rPr>
      </w:pPr>
      <w:r w:rsidRPr="004676C2">
        <w:rPr>
          <w:b/>
          <w:bCs/>
        </w:rPr>
        <w:t>Why a cattle tick risk management plan is required</w:t>
      </w:r>
    </w:p>
    <w:p w14:paraId="6B38A038" w14:textId="175E41D7" w:rsidR="00EF66C3" w:rsidRDefault="008975BC" w:rsidP="009B54E4">
      <w:r>
        <w:t xml:space="preserve">Cattle </w:t>
      </w:r>
      <w:r w:rsidR="00EF66C3">
        <w:t xml:space="preserve">entering </w:t>
      </w:r>
      <w:r>
        <w:t xml:space="preserve">the </w:t>
      </w:r>
      <w:r w:rsidR="00EF66C3">
        <w:t>feedlot</w:t>
      </w:r>
      <w:r>
        <w:t xml:space="preserve"> </w:t>
      </w:r>
      <w:r w:rsidR="00EF66C3">
        <w:t xml:space="preserve">from tick infested areas </w:t>
      </w:r>
      <w:r>
        <w:t xml:space="preserve">under concessional movement </w:t>
      </w:r>
      <w:r w:rsidR="00EF66C3">
        <w:t>requirements</w:t>
      </w:r>
      <w:r>
        <w:t xml:space="preserve"> on</w:t>
      </w:r>
      <w:r w:rsidR="00EF66C3">
        <w:t>l</w:t>
      </w:r>
      <w:r>
        <w:t xml:space="preserve">y require a visual examination and a dip prior to </w:t>
      </w:r>
      <w:r w:rsidR="00EF66C3">
        <w:t>entry</w:t>
      </w:r>
      <w:r>
        <w:t xml:space="preserve"> </w:t>
      </w:r>
      <w:r w:rsidR="00EF66C3">
        <w:t>whereas</w:t>
      </w:r>
      <w:r>
        <w:t xml:space="preserve"> non </w:t>
      </w:r>
      <w:r w:rsidR="00EF66C3">
        <w:t>concessional</w:t>
      </w:r>
      <w:r>
        <w:t xml:space="preserve"> cattle require an individual manual examination i</w:t>
      </w:r>
      <w:r w:rsidR="00EF66C3">
        <w:t xml:space="preserve">n </w:t>
      </w:r>
      <w:r>
        <w:t xml:space="preserve">a crush </w:t>
      </w:r>
      <w:r w:rsidR="00EF66C3">
        <w:t>followed by a chemical treatment.</w:t>
      </w:r>
      <w:r>
        <w:t xml:space="preserve"> </w:t>
      </w:r>
      <w:r w:rsidR="00EF66C3">
        <w:t xml:space="preserve">In order to access this concession a feedlot </w:t>
      </w:r>
      <w:r w:rsidR="00D12370">
        <w:t xml:space="preserve">must </w:t>
      </w:r>
      <w:r w:rsidR="00EF66C3">
        <w:t xml:space="preserve">have a </w:t>
      </w:r>
      <w:r w:rsidR="00A10AF8">
        <w:t xml:space="preserve">written </w:t>
      </w:r>
      <w:r w:rsidR="00EF66C3">
        <w:t xml:space="preserve">cattle tick risk management plan and implement it fully. </w:t>
      </w:r>
    </w:p>
    <w:p w14:paraId="63A8D0B7" w14:textId="77777777" w:rsidR="0005152D" w:rsidRPr="009E7D5C" w:rsidRDefault="0005152D" w:rsidP="009B54E4">
      <w:pPr>
        <w:rPr>
          <w:b/>
          <w:bCs/>
        </w:rPr>
      </w:pPr>
      <w:r w:rsidRPr="009E7D5C">
        <w:rPr>
          <w:b/>
          <w:bCs/>
        </w:rPr>
        <w:t>Audits</w:t>
      </w:r>
    </w:p>
    <w:p w14:paraId="6D666F74" w14:textId="6B061E8A" w:rsidR="009B54E4" w:rsidRDefault="004676C2" w:rsidP="009B54E4">
      <w:r>
        <w:t xml:space="preserve">The feedlot will be </w:t>
      </w:r>
      <w:proofErr w:type="gramStart"/>
      <w:r>
        <w:t>audited</w:t>
      </w:r>
      <w:proofErr w:type="gramEnd"/>
      <w:r>
        <w:t xml:space="preserve"> and this </w:t>
      </w:r>
      <w:r w:rsidR="00A10AF8">
        <w:t xml:space="preserve">plan must be produced during audits. If a major defect is detected during an audit </w:t>
      </w:r>
      <w:r w:rsidR="009B54E4">
        <w:t>cancellation of the concession</w:t>
      </w:r>
      <w:r w:rsidR="00A10AF8">
        <w:t xml:space="preserve"> would </w:t>
      </w:r>
      <w:r w:rsidR="0005152D">
        <w:t xml:space="preserve">probably </w:t>
      </w:r>
      <w:r w:rsidR="00A10AF8">
        <w:t>occur</w:t>
      </w:r>
      <w:r w:rsidR="009B54E4">
        <w:t xml:space="preserve">. Reinstatement would be after a successful </w:t>
      </w:r>
      <w:r w:rsidR="000015C1">
        <w:t>follow-up</w:t>
      </w:r>
      <w:r w:rsidR="009B54E4">
        <w:t xml:space="preserve"> audit. </w:t>
      </w:r>
    </w:p>
    <w:p w14:paraId="07DD2F90" w14:textId="50D6867E" w:rsidR="0005152D" w:rsidRDefault="009B54E4" w:rsidP="009B54E4">
      <w:r>
        <w:t>Minor defe</w:t>
      </w:r>
      <w:r w:rsidR="00D12370">
        <w:t>c</w:t>
      </w:r>
      <w:r>
        <w:t xml:space="preserve">ts would involve a warning letter advising rectification required in 14 days.  </w:t>
      </w:r>
    </w:p>
    <w:p w14:paraId="3B8C1972" w14:textId="5E5BEE98" w:rsidR="009B54E4" w:rsidRDefault="009B54E4" w:rsidP="009B54E4">
      <w:r>
        <w:t>Examples of major defects.</w:t>
      </w:r>
    </w:p>
    <w:p w14:paraId="08B8F725" w14:textId="77777777" w:rsidR="009B54E4" w:rsidRDefault="009B54E4" w:rsidP="009B54E4">
      <w:pPr>
        <w:pStyle w:val="CommentText"/>
        <w:numPr>
          <w:ilvl w:val="0"/>
          <w:numId w:val="31"/>
        </w:numPr>
        <w:spacing w:before="0" w:after="0"/>
      </w:pPr>
      <w:r>
        <w:t>Repeated occurrences where biosecurity certificates not able to be produced.</w:t>
      </w:r>
    </w:p>
    <w:p w14:paraId="3AEDF9EB" w14:textId="1B31911D" w:rsidR="009B54E4" w:rsidRDefault="009B54E4" w:rsidP="009B54E4">
      <w:pPr>
        <w:pStyle w:val="CommentText"/>
        <w:numPr>
          <w:ilvl w:val="0"/>
          <w:numId w:val="31"/>
        </w:numPr>
        <w:spacing w:before="0" w:after="0"/>
      </w:pPr>
      <w:r>
        <w:t xml:space="preserve">Movements off the </w:t>
      </w:r>
      <w:r w:rsidR="000015C1">
        <w:t>feedlot (</w:t>
      </w:r>
      <w:r>
        <w:t>other than to an abattoir) without a permit</w:t>
      </w:r>
    </w:p>
    <w:p w14:paraId="56997E0B" w14:textId="77777777" w:rsidR="009B54E4" w:rsidRDefault="009B54E4" w:rsidP="009B54E4">
      <w:pPr>
        <w:pStyle w:val="CommentText"/>
        <w:numPr>
          <w:ilvl w:val="0"/>
          <w:numId w:val="31"/>
        </w:numPr>
        <w:spacing w:before="0" w:after="0"/>
      </w:pPr>
      <w:r>
        <w:t>Repeated straying off the feedlot due to inadequate fencing</w:t>
      </w:r>
    </w:p>
    <w:p w14:paraId="59854562" w14:textId="15F59238" w:rsidR="009B54E4" w:rsidRDefault="009B54E4" w:rsidP="009B54E4">
      <w:pPr>
        <w:pStyle w:val="CommentText"/>
        <w:numPr>
          <w:ilvl w:val="0"/>
          <w:numId w:val="31"/>
        </w:numPr>
        <w:spacing w:before="0" w:after="0"/>
      </w:pPr>
      <w:r>
        <w:t>inadequate buffer area</w:t>
      </w:r>
    </w:p>
    <w:p w14:paraId="68C3B530" w14:textId="77777777" w:rsidR="009B54E4" w:rsidRDefault="009B54E4" w:rsidP="009B54E4">
      <w:pPr>
        <w:pStyle w:val="CommentText"/>
      </w:pPr>
      <w:r>
        <w:t>Minor defects</w:t>
      </w:r>
    </w:p>
    <w:p w14:paraId="370AE48E" w14:textId="62C3AF78" w:rsidR="009B54E4" w:rsidRDefault="009B54E4" w:rsidP="009B54E4">
      <w:pPr>
        <w:pStyle w:val="CommentText"/>
        <w:numPr>
          <w:ilvl w:val="0"/>
          <w:numId w:val="31"/>
        </w:numPr>
        <w:spacing w:before="0" w:after="0"/>
      </w:pPr>
      <w:r>
        <w:t>Some vegetation present in the feedlot but just needs more regular maintenance</w:t>
      </w:r>
    </w:p>
    <w:p w14:paraId="37EEE790" w14:textId="1AF86301" w:rsidR="009B54E4" w:rsidRDefault="000015C1" w:rsidP="009B54E4">
      <w:pPr>
        <w:pStyle w:val="CommentText"/>
        <w:numPr>
          <w:ilvl w:val="0"/>
          <w:numId w:val="31"/>
        </w:numPr>
        <w:spacing w:before="0" w:after="0"/>
      </w:pPr>
      <w:r>
        <w:t>R</w:t>
      </w:r>
      <w:r w:rsidR="009B54E4">
        <w:t>ecords are not of high standard or incomplete</w:t>
      </w:r>
    </w:p>
    <w:p w14:paraId="63366031" w14:textId="45FAD3FC" w:rsidR="009B54E4" w:rsidRDefault="000015C1" w:rsidP="009B54E4">
      <w:pPr>
        <w:pStyle w:val="CommentText"/>
        <w:numPr>
          <w:ilvl w:val="0"/>
          <w:numId w:val="31"/>
        </w:numPr>
        <w:spacing w:before="0" w:after="0"/>
      </w:pPr>
      <w:r>
        <w:t>T</w:t>
      </w:r>
      <w:r w:rsidR="009B54E4">
        <w:t>ruck washing area inadequate to wash out trucks properly</w:t>
      </w:r>
    </w:p>
    <w:p w14:paraId="381532AF" w14:textId="373A3988" w:rsidR="009B54E4" w:rsidRDefault="009B54E4" w:rsidP="009B54E4">
      <w:pPr>
        <w:pStyle w:val="CommentText"/>
        <w:numPr>
          <w:ilvl w:val="0"/>
          <w:numId w:val="31"/>
        </w:numPr>
        <w:spacing w:before="0" w:after="0"/>
      </w:pPr>
      <w:r>
        <w:t>Suspect ticks not submitted for identification.</w:t>
      </w:r>
    </w:p>
    <w:p w14:paraId="20463938" w14:textId="77777777" w:rsidR="009B54E4" w:rsidRDefault="009B54E4" w:rsidP="009B54E4">
      <w:pPr>
        <w:pStyle w:val="CommentText"/>
        <w:numPr>
          <w:ilvl w:val="0"/>
          <w:numId w:val="31"/>
        </w:numPr>
        <w:spacing w:before="0" w:after="0"/>
      </w:pPr>
      <w:r>
        <w:t xml:space="preserve">Retention pond poorly sited </w:t>
      </w:r>
    </w:p>
    <w:p w14:paraId="0FF91641" w14:textId="769105FE" w:rsidR="009B54E4" w:rsidRPr="00953174" w:rsidRDefault="009B54E4" w:rsidP="00953174">
      <w:pPr>
        <w:sectPr w:rsidR="009B54E4" w:rsidRPr="00953174" w:rsidSect="008320D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81" w:right="1418" w:bottom="1418" w:left="1418" w:header="737" w:footer="680" w:gutter="0"/>
          <w:cols w:space="708"/>
          <w:titlePg/>
          <w:docGrid w:linePitch="360"/>
        </w:sectPr>
      </w:pPr>
    </w:p>
    <w:p w14:paraId="02F6B005" w14:textId="77777777" w:rsidR="00F133C4" w:rsidRPr="00953174" w:rsidRDefault="00F133C4" w:rsidP="00F133C4">
      <w:pPr>
        <w:pStyle w:val="Heading3"/>
        <w:rPr>
          <w:color w:val="0E77A6"/>
          <w:sz w:val="28"/>
          <w:szCs w:val="28"/>
        </w:rPr>
      </w:pPr>
      <w:bookmarkStart w:id="1" w:name="_Toc506546085"/>
      <w:r w:rsidRPr="00953174">
        <w:rPr>
          <w:color w:val="0E77A6"/>
          <w:sz w:val="28"/>
          <w:szCs w:val="28"/>
        </w:rPr>
        <w:lastRenderedPageBreak/>
        <w:t>Feedlot contact details:</w:t>
      </w:r>
    </w:p>
    <w:tbl>
      <w:tblPr>
        <w:tblStyle w:val="dpitablestyle"/>
        <w:tblpPr w:leftFromText="180" w:rightFromText="180" w:vertAnchor="text" w:horzAnchor="margin" w:tblpY="86"/>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7287"/>
      </w:tblGrid>
      <w:tr w:rsidR="00F133C4" w14:paraId="19873D1F" w14:textId="77777777" w:rsidTr="001111A6">
        <w:trPr>
          <w:cnfStyle w:val="100000000000" w:firstRow="1" w:lastRow="0" w:firstColumn="0" w:lastColumn="0" w:oddVBand="0" w:evenVBand="0" w:oddHBand="0" w:evenHBand="0" w:firstRowFirstColumn="0" w:firstRowLastColumn="0" w:lastRowFirstColumn="0" w:lastRowLastColumn="0"/>
          <w:trHeight w:val="813"/>
        </w:trPr>
        <w:tc>
          <w:tcPr>
            <w:tcW w:w="7002" w:type="dxa"/>
            <w:tcBorders>
              <w:top w:val="none" w:sz="0" w:space="0" w:color="auto"/>
              <w:left w:val="none" w:sz="0" w:space="0" w:color="auto"/>
              <w:bottom w:val="none" w:sz="0" w:space="0" w:color="auto"/>
              <w:right w:val="none" w:sz="0" w:space="0" w:color="auto"/>
            </w:tcBorders>
            <w:shd w:val="clear" w:color="auto" w:fill="FFFFFF" w:themeFill="background1"/>
          </w:tcPr>
          <w:p w14:paraId="4CCB51D5" w14:textId="77777777" w:rsidR="00F133C4" w:rsidRDefault="00F133C4" w:rsidP="001111A6">
            <w:r>
              <w:rPr>
                <w:noProof/>
              </w:rPr>
              <w:t xml:space="preserve">Name of Feedlot: </w:t>
            </w:r>
          </w:p>
        </w:tc>
        <w:tc>
          <w:tcPr>
            <w:tcW w:w="7287" w:type="dxa"/>
            <w:tcBorders>
              <w:top w:val="none" w:sz="0" w:space="0" w:color="auto"/>
              <w:left w:val="none" w:sz="0" w:space="0" w:color="auto"/>
              <w:bottom w:val="none" w:sz="0" w:space="0" w:color="auto"/>
              <w:right w:val="none" w:sz="0" w:space="0" w:color="auto"/>
            </w:tcBorders>
            <w:shd w:val="clear" w:color="auto" w:fill="FFFFFF" w:themeFill="background1"/>
          </w:tcPr>
          <w:p w14:paraId="2F0F440E" w14:textId="77777777" w:rsidR="00F133C4" w:rsidRDefault="00F133C4" w:rsidP="001111A6">
            <w:r>
              <w:t>Owner:</w:t>
            </w:r>
            <w:r w:rsidRPr="00D36BF5">
              <w:rPr>
                <w:b w:val="0"/>
              </w:rPr>
              <w:t xml:space="preserve"> </w:t>
            </w:r>
          </w:p>
          <w:p w14:paraId="77B2983C" w14:textId="77777777" w:rsidR="00F133C4" w:rsidRPr="00CC2D64" w:rsidRDefault="00F133C4" w:rsidP="001111A6">
            <w:pPr>
              <w:rPr>
                <w:bCs/>
              </w:rPr>
            </w:pPr>
            <w:r w:rsidRPr="00CC2D64">
              <w:rPr>
                <w:bCs/>
              </w:rPr>
              <w:t>Manager:</w:t>
            </w:r>
          </w:p>
        </w:tc>
      </w:tr>
      <w:tr w:rsidR="00F133C4" w14:paraId="46F249A3" w14:textId="77777777" w:rsidTr="001111A6">
        <w:trPr>
          <w:cnfStyle w:val="000000100000" w:firstRow="0" w:lastRow="0" w:firstColumn="0" w:lastColumn="0" w:oddVBand="0" w:evenVBand="0" w:oddHBand="1" w:evenHBand="0" w:firstRowFirstColumn="0" w:firstRowLastColumn="0" w:lastRowFirstColumn="0" w:lastRowLastColumn="0"/>
          <w:trHeight w:val="1210"/>
        </w:trPr>
        <w:tc>
          <w:tcPr>
            <w:tcW w:w="7002" w:type="dxa"/>
            <w:tcBorders>
              <w:bottom w:val="none" w:sz="0" w:space="0" w:color="auto"/>
            </w:tcBorders>
          </w:tcPr>
          <w:p w14:paraId="74408388" w14:textId="77777777" w:rsidR="00F133C4" w:rsidRPr="00043BA9" w:rsidRDefault="00F133C4" w:rsidP="001111A6">
            <w:pPr>
              <w:rPr>
                <w:b/>
              </w:rPr>
            </w:pPr>
            <w:r>
              <w:rPr>
                <w:b/>
                <w:noProof/>
              </w:rPr>
              <w:t>Address of Feedlot:</w:t>
            </w:r>
          </w:p>
        </w:tc>
        <w:tc>
          <w:tcPr>
            <w:tcW w:w="7287" w:type="dxa"/>
            <w:tcBorders>
              <w:bottom w:val="none" w:sz="0" w:space="0" w:color="auto"/>
            </w:tcBorders>
          </w:tcPr>
          <w:p w14:paraId="6A02FE3A" w14:textId="77777777" w:rsidR="00F133C4" w:rsidRDefault="00F133C4" w:rsidP="001111A6">
            <w:pPr>
              <w:rPr>
                <w:b/>
                <w:noProof/>
              </w:rPr>
            </w:pPr>
            <w:r>
              <w:rPr>
                <w:b/>
                <w:noProof/>
              </w:rPr>
              <w:t>Phone:</w:t>
            </w:r>
          </w:p>
          <w:p w14:paraId="0FDFE0CC" w14:textId="77777777" w:rsidR="00F133C4" w:rsidRDefault="00F133C4" w:rsidP="001111A6">
            <w:pPr>
              <w:rPr>
                <w:b/>
                <w:noProof/>
              </w:rPr>
            </w:pPr>
            <w:r>
              <w:rPr>
                <w:b/>
                <w:noProof/>
              </w:rPr>
              <w:t>Fax:</w:t>
            </w:r>
          </w:p>
          <w:p w14:paraId="1ABFB0E7" w14:textId="77777777" w:rsidR="00F133C4" w:rsidRPr="00D36BF5" w:rsidRDefault="00F133C4" w:rsidP="001111A6">
            <w:pPr>
              <w:rPr>
                <w:b/>
              </w:rPr>
            </w:pPr>
            <w:r>
              <w:rPr>
                <w:b/>
                <w:noProof/>
              </w:rPr>
              <w:t>Email:</w:t>
            </w:r>
          </w:p>
        </w:tc>
      </w:tr>
      <w:tr w:rsidR="00F133C4" w14:paraId="34A7DFBF" w14:textId="77777777" w:rsidTr="001111A6">
        <w:trPr>
          <w:cnfStyle w:val="000000010000" w:firstRow="0" w:lastRow="0" w:firstColumn="0" w:lastColumn="0" w:oddVBand="0" w:evenVBand="0" w:oddHBand="0" w:evenHBand="1" w:firstRowFirstColumn="0" w:firstRowLastColumn="0" w:lastRowFirstColumn="0" w:lastRowLastColumn="0"/>
          <w:trHeight w:val="805"/>
        </w:trPr>
        <w:tc>
          <w:tcPr>
            <w:tcW w:w="7002" w:type="dxa"/>
            <w:tcBorders>
              <w:left w:val="none" w:sz="0" w:space="0" w:color="auto"/>
              <w:bottom w:val="single" w:sz="4" w:space="0" w:color="auto"/>
            </w:tcBorders>
          </w:tcPr>
          <w:p w14:paraId="57FFC323" w14:textId="77777777" w:rsidR="00F133C4" w:rsidRPr="00043BA9" w:rsidRDefault="00F133C4" w:rsidP="001111A6">
            <w:pPr>
              <w:rPr>
                <w:b/>
                <w:noProof/>
              </w:rPr>
            </w:pPr>
            <w:r>
              <w:rPr>
                <w:b/>
                <w:noProof/>
              </w:rPr>
              <w:t xml:space="preserve">License number: </w:t>
            </w:r>
          </w:p>
        </w:tc>
        <w:tc>
          <w:tcPr>
            <w:tcW w:w="7287" w:type="dxa"/>
            <w:tcBorders>
              <w:bottom w:val="single" w:sz="4" w:space="0" w:color="auto"/>
            </w:tcBorders>
          </w:tcPr>
          <w:p w14:paraId="09EDF627" w14:textId="77777777" w:rsidR="00F133C4" w:rsidRDefault="00F133C4" w:rsidP="001111A6">
            <w:pPr>
              <w:rPr>
                <w:b/>
                <w:noProof/>
              </w:rPr>
            </w:pPr>
            <w:r>
              <w:rPr>
                <w:b/>
                <w:noProof/>
              </w:rPr>
              <w:t>Review Date:</w:t>
            </w:r>
          </w:p>
          <w:p w14:paraId="0908E0E1" w14:textId="77777777" w:rsidR="00F133C4" w:rsidRPr="00CC2D64" w:rsidRDefault="00F133C4" w:rsidP="001111A6">
            <w:pPr>
              <w:rPr>
                <w:bCs/>
              </w:rPr>
            </w:pPr>
            <w:r w:rsidRPr="00CC2D64">
              <w:rPr>
                <w:bCs/>
                <w:noProof/>
                <w:sz w:val="18"/>
                <w:szCs w:val="20"/>
              </w:rPr>
              <w:t>(12 months from initial date*)</w:t>
            </w:r>
          </w:p>
        </w:tc>
      </w:tr>
      <w:tr w:rsidR="00F133C4" w14:paraId="0E3A033C" w14:textId="77777777" w:rsidTr="001111A6">
        <w:trPr>
          <w:cnfStyle w:val="000000100000" w:firstRow="0" w:lastRow="0" w:firstColumn="0" w:lastColumn="0" w:oddVBand="0" w:evenVBand="0" w:oddHBand="1" w:evenHBand="0" w:firstRowFirstColumn="0" w:firstRowLastColumn="0" w:lastRowFirstColumn="0" w:lastRowLastColumn="0"/>
          <w:trHeight w:val="1014"/>
        </w:trPr>
        <w:tc>
          <w:tcPr>
            <w:tcW w:w="7002" w:type="dxa"/>
            <w:tcBorders>
              <w:bottom w:val="single" w:sz="4" w:space="0" w:color="auto"/>
            </w:tcBorders>
          </w:tcPr>
          <w:p w14:paraId="273F6B38" w14:textId="77777777" w:rsidR="00F133C4" w:rsidRDefault="00F133C4" w:rsidP="001111A6">
            <w:pPr>
              <w:rPr>
                <w:b/>
                <w:noProof/>
              </w:rPr>
            </w:pPr>
            <w:r w:rsidRPr="00D36BF5">
              <w:rPr>
                <w:b/>
              </w:rPr>
              <w:t xml:space="preserve">Emergency Animal Disease hotline: </w:t>
            </w:r>
            <w:r w:rsidRPr="00D36BF5">
              <w:rPr>
                <w:b/>
                <w:sz w:val="32"/>
              </w:rPr>
              <w:t>1800 675 888</w:t>
            </w:r>
          </w:p>
        </w:tc>
        <w:tc>
          <w:tcPr>
            <w:tcW w:w="7287" w:type="dxa"/>
            <w:tcBorders>
              <w:bottom w:val="single" w:sz="4" w:space="0" w:color="auto"/>
            </w:tcBorders>
          </w:tcPr>
          <w:p w14:paraId="47010C19" w14:textId="57E456E9" w:rsidR="00F133C4" w:rsidRPr="00CC2D64" w:rsidRDefault="00F133C4" w:rsidP="001111A6">
            <w:pPr>
              <w:spacing w:after="0" w:line="260" w:lineRule="atLeast"/>
              <w:rPr>
                <w:rFonts w:cs="Arial"/>
                <w:szCs w:val="20"/>
              </w:rPr>
            </w:pPr>
            <w:r>
              <w:t xml:space="preserve">*the plan is to be reviewed and approved annually </w:t>
            </w:r>
            <w:r w:rsidR="00830A8B">
              <w:t xml:space="preserve">by feedlot management as well as after </w:t>
            </w:r>
            <w:r>
              <w:t>any change of ownership.</w:t>
            </w:r>
            <w:r w:rsidRPr="006B3FAB">
              <w:rPr>
                <w:rFonts w:cs="Arial"/>
              </w:rPr>
              <w:t xml:space="preserve"> </w:t>
            </w:r>
          </w:p>
        </w:tc>
      </w:tr>
    </w:tbl>
    <w:p w14:paraId="629ADAB4" w14:textId="77777777" w:rsidR="00F133C4" w:rsidRPr="00DC1364" w:rsidRDefault="00F133C4" w:rsidP="00F133C4"/>
    <w:tbl>
      <w:tblPr>
        <w:tblStyle w:val="dpitablestyle"/>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44"/>
      </w:tblGrid>
      <w:tr w:rsidR="00953174" w14:paraId="3D55CDCC" w14:textId="77777777" w:rsidTr="00953174">
        <w:trPr>
          <w:cnfStyle w:val="100000000000" w:firstRow="1" w:lastRow="0" w:firstColumn="0" w:lastColumn="0" w:oddVBand="0" w:evenVBand="0" w:oddHBand="0" w:evenHBand="0" w:firstRowFirstColumn="0" w:firstRowLastColumn="0" w:lastRowFirstColumn="0" w:lastRowLastColumn="0"/>
          <w:trHeight w:val="657"/>
        </w:trPr>
        <w:tc>
          <w:tcPr>
            <w:tcW w:w="2376" w:type="dxa"/>
            <w:tcBorders>
              <w:top w:val="none" w:sz="0" w:space="0" w:color="auto"/>
              <w:left w:val="none" w:sz="0" w:space="0" w:color="auto"/>
              <w:bottom w:val="single" w:sz="4" w:space="0" w:color="auto"/>
              <w:right w:val="none" w:sz="0" w:space="0" w:color="auto"/>
            </w:tcBorders>
            <w:shd w:val="clear" w:color="auto" w:fill="FFFFFF" w:themeFill="background1"/>
          </w:tcPr>
          <w:p w14:paraId="45BE1BFB" w14:textId="77777777" w:rsidR="00953174" w:rsidRPr="00042788" w:rsidRDefault="00953174" w:rsidP="00953174">
            <w:pPr>
              <w:rPr>
                <w:noProof/>
              </w:rPr>
            </w:pPr>
            <w:r w:rsidRPr="00042788">
              <w:rPr>
                <w:noProof/>
              </w:rPr>
              <w:t>Prepared by</w:t>
            </w:r>
            <w:r>
              <w:rPr>
                <w:noProof/>
              </w:rPr>
              <w:t xml:space="preserve"> (Name)</w:t>
            </w:r>
          </w:p>
        </w:tc>
        <w:tc>
          <w:tcPr>
            <w:tcW w:w="5944" w:type="dxa"/>
            <w:tcBorders>
              <w:top w:val="none" w:sz="0" w:space="0" w:color="auto"/>
              <w:left w:val="none" w:sz="0" w:space="0" w:color="auto"/>
              <w:bottom w:val="single" w:sz="4" w:space="0" w:color="auto"/>
              <w:right w:val="none" w:sz="0" w:space="0" w:color="auto"/>
            </w:tcBorders>
            <w:shd w:val="clear" w:color="auto" w:fill="FFFFFF" w:themeFill="background1"/>
          </w:tcPr>
          <w:p w14:paraId="294453F6" w14:textId="77777777" w:rsidR="00953174" w:rsidRDefault="00953174" w:rsidP="00953174"/>
        </w:tc>
      </w:tr>
      <w:tr w:rsidR="00953174" w14:paraId="6DDA5E3A" w14:textId="77777777" w:rsidTr="00953174">
        <w:trPr>
          <w:cnfStyle w:val="000000100000" w:firstRow="0" w:lastRow="0" w:firstColumn="0" w:lastColumn="0" w:oddVBand="0" w:evenVBand="0" w:oddHBand="1" w:evenHBand="0" w:firstRowFirstColumn="0" w:firstRowLastColumn="0" w:lastRowFirstColumn="0" w:lastRowLastColumn="0"/>
          <w:trHeight w:val="486"/>
        </w:trPr>
        <w:tc>
          <w:tcPr>
            <w:tcW w:w="2376" w:type="dxa"/>
            <w:tcBorders>
              <w:bottom w:val="single" w:sz="4" w:space="0" w:color="auto"/>
            </w:tcBorders>
            <w:shd w:val="clear" w:color="auto" w:fill="FFFFFF" w:themeFill="background1"/>
          </w:tcPr>
          <w:p w14:paraId="1FC4E540" w14:textId="77777777" w:rsidR="00953174" w:rsidRPr="00042788" w:rsidRDefault="00953174" w:rsidP="00953174">
            <w:pPr>
              <w:rPr>
                <w:b/>
                <w:noProof/>
              </w:rPr>
            </w:pPr>
            <w:r w:rsidRPr="00042788">
              <w:rPr>
                <w:b/>
                <w:noProof/>
              </w:rPr>
              <w:t>Signature</w:t>
            </w:r>
          </w:p>
        </w:tc>
        <w:tc>
          <w:tcPr>
            <w:tcW w:w="5944" w:type="dxa"/>
            <w:tcBorders>
              <w:bottom w:val="single" w:sz="4" w:space="0" w:color="auto"/>
            </w:tcBorders>
            <w:shd w:val="clear" w:color="auto" w:fill="FFFFFF" w:themeFill="background1"/>
          </w:tcPr>
          <w:p w14:paraId="5F9B8F6E" w14:textId="77777777" w:rsidR="00953174" w:rsidRDefault="00953174" w:rsidP="00953174"/>
        </w:tc>
      </w:tr>
      <w:tr w:rsidR="00953174" w14:paraId="508969AB" w14:textId="77777777" w:rsidTr="00953174">
        <w:trPr>
          <w:cnfStyle w:val="000000010000" w:firstRow="0" w:lastRow="0" w:firstColumn="0" w:lastColumn="0" w:oddVBand="0" w:evenVBand="0" w:oddHBand="0" w:evenHBand="1" w:firstRowFirstColumn="0" w:firstRowLastColumn="0" w:lastRowFirstColumn="0" w:lastRowLastColumn="0"/>
          <w:trHeight w:val="497"/>
        </w:trPr>
        <w:tc>
          <w:tcPr>
            <w:tcW w:w="2376" w:type="dxa"/>
            <w:tcBorders>
              <w:left w:val="single" w:sz="4" w:space="0" w:color="auto"/>
              <w:bottom w:val="single" w:sz="4" w:space="0" w:color="auto"/>
            </w:tcBorders>
            <w:shd w:val="clear" w:color="auto" w:fill="FFFFFF" w:themeFill="background1"/>
          </w:tcPr>
          <w:p w14:paraId="6D5DCD28" w14:textId="77777777" w:rsidR="00953174" w:rsidRPr="00042788" w:rsidRDefault="00953174" w:rsidP="00953174">
            <w:pPr>
              <w:rPr>
                <w:b/>
                <w:noProof/>
              </w:rPr>
            </w:pPr>
            <w:r w:rsidRPr="00042788">
              <w:rPr>
                <w:b/>
                <w:noProof/>
              </w:rPr>
              <w:t>Position</w:t>
            </w:r>
            <w:r w:rsidRPr="00042788">
              <w:rPr>
                <w:b/>
                <w:noProof/>
                <w:bdr w:val="single" w:sz="4" w:space="0" w:color="auto"/>
              </w:rPr>
              <w:t xml:space="preserve"> </w:t>
            </w:r>
          </w:p>
        </w:tc>
        <w:tc>
          <w:tcPr>
            <w:tcW w:w="5944" w:type="dxa"/>
            <w:tcBorders>
              <w:bottom w:val="single" w:sz="4" w:space="0" w:color="auto"/>
            </w:tcBorders>
            <w:shd w:val="clear" w:color="auto" w:fill="FFFFFF" w:themeFill="background1"/>
          </w:tcPr>
          <w:p w14:paraId="42945B90" w14:textId="77777777" w:rsidR="00953174" w:rsidRDefault="00953174" w:rsidP="00953174"/>
        </w:tc>
      </w:tr>
      <w:tr w:rsidR="00953174" w:rsidRPr="006B7A10" w14:paraId="7446B0A4" w14:textId="77777777" w:rsidTr="00953174">
        <w:trPr>
          <w:cnfStyle w:val="000000100000" w:firstRow="0" w:lastRow="0" w:firstColumn="0" w:lastColumn="0" w:oddVBand="0" w:evenVBand="0" w:oddHBand="1" w:evenHBand="0" w:firstRowFirstColumn="0" w:firstRowLastColumn="0" w:lastRowFirstColumn="0" w:lastRowLastColumn="0"/>
          <w:trHeight w:val="509"/>
        </w:trPr>
        <w:tc>
          <w:tcPr>
            <w:tcW w:w="2376" w:type="dxa"/>
            <w:tcBorders>
              <w:bottom w:val="none" w:sz="0" w:space="0" w:color="auto"/>
            </w:tcBorders>
            <w:shd w:val="clear" w:color="auto" w:fill="FFFFFF" w:themeFill="background1"/>
          </w:tcPr>
          <w:p w14:paraId="42A7B477" w14:textId="77777777" w:rsidR="00953174" w:rsidRDefault="00953174" w:rsidP="00953174">
            <w:pPr>
              <w:rPr>
                <w:b/>
                <w:noProof/>
              </w:rPr>
            </w:pPr>
            <w:r>
              <w:rPr>
                <w:b/>
                <w:noProof/>
              </w:rPr>
              <w:t>Date</w:t>
            </w:r>
          </w:p>
        </w:tc>
        <w:tc>
          <w:tcPr>
            <w:tcW w:w="5944" w:type="dxa"/>
            <w:tcBorders>
              <w:bottom w:val="none" w:sz="0" w:space="0" w:color="auto"/>
            </w:tcBorders>
            <w:shd w:val="clear" w:color="auto" w:fill="FFFFFF" w:themeFill="background1"/>
          </w:tcPr>
          <w:p w14:paraId="36C30FEC" w14:textId="77777777" w:rsidR="00953174" w:rsidRPr="006B7A10" w:rsidRDefault="00953174" w:rsidP="00953174">
            <w:pPr>
              <w:rPr>
                <w:noProof/>
              </w:rPr>
            </w:pPr>
          </w:p>
        </w:tc>
      </w:tr>
    </w:tbl>
    <w:p w14:paraId="0C79A0A8" w14:textId="77777777" w:rsidR="00F133C4" w:rsidRDefault="00F133C4" w:rsidP="00F133C4">
      <w:pPr>
        <w:pStyle w:val="Heading3"/>
      </w:pPr>
    </w:p>
    <w:p w14:paraId="311504DB" w14:textId="77777777" w:rsidR="00F133C4" w:rsidRDefault="00F133C4" w:rsidP="00F133C4"/>
    <w:p w14:paraId="0E680567" w14:textId="77777777" w:rsidR="00F133C4" w:rsidRDefault="00F133C4" w:rsidP="00F133C4"/>
    <w:p w14:paraId="47A3EA9A" w14:textId="77777777" w:rsidR="00F133C4" w:rsidRDefault="00F133C4" w:rsidP="00F133C4"/>
    <w:p w14:paraId="766BF9E6" w14:textId="77777777" w:rsidR="00F133C4" w:rsidRDefault="00F133C4" w:rsidP="00F133C4"/>
    <w:bookmarkEnd w:id="1"/>
    <w:tbl>
      <w:tblPr>
        <w:tblpPr w:leftFromText="180" w:rightFromText="180" w:vertAnchor="text" w:horzAnchor="margin" w:tblpY="-1296"/>
        <w:tblW w:w="14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
        <w:gridCol w:w="6222"/>
        <w:gridCol w:w="2550"/>
        <w:gridCol w:w="4117"/>
        <w:gridCol w:w="870"/>
      </w:tblGrid>
      <w:tr w:rsidR="00F36475" w14:paraId="6E460144" w14:textId="77777777" w:rsidTr="00F36475">
        <w:trPr>
          <w:trHeight w:val="560"/>
        </w:trPr>
        <w:tc>
          <w:tcPr>
            <w:tcW w:w="705" w:type="dxa"/>
            <w:shd w:val="clear" w:color="auto" w:fill="A8D08D"/>
          </w:tcPr>
          <w:p w14:paraId="1168724F" w14:textId="77777777" w:rsidR="00F36475" w:rsidRDefault="00F36475" w:rsidP="00F36475">
            <w:pPr>
              <w:pStyle w:val="TableParagraph"/>
              <w:spacing w:before="156"/>
              <w:ind w:left="100"/>
              <w:rPr>
                <w:b/>
                <w:sz w:val="20"/>
              </w:rPr>
            </w:pPr>
          </w:p>
        </w:tc>
        <w:tc>
          <w:tcPr>
            <w:tcW w:w="13759" w:type="dxa"/>
            <w:gridSpan w:val="4"/>
            <w:shd w:val="clear" w:color="auto" w:fill="A8D08D"/>
          </w:tcPr>
          <w:p w14:paraId="6EF5FF09" w14:textId="77777777" w:rsidR="00F36475" w:rsidRDefault="00F36475" w:rsidP="00F36475">
            <w:pPr>
              <w:pStyle w:val="TableParagraph"/>
              <w:spacing w:before="156"/>
              <w:ind w:left="105"/>
              <w:rPr>
                <w:b/>
                <w:sz w:val="20"/>
              </w:rPr>
            </w:pPr>
            <w:r>
              <w:rPr>
                <w:b/>
                <w:sz w:val="20"/>
              </w:rPr>
              <w:t>INPUTS – LIVESTOCK, WATER, FEED, ETC.</w:t>
            </w:r>
          </w:p>
        </w:tc>
      </w:tr>
      <w:tr w:rsidR="00F36475" w14:paraId="237D7879" w14:textId="77777777" w:rsidTr="00F36475">
        <w:trPr>
          <w:trHeight w:val="360"/>
        </w:trPr>
        <w:tc>
          <w:tcPr>
            <w:tcW w:w="705" w:type="dxa"/>
            <w:shd w:val="clear" w:color="auto" w:fill="E1EED9"/>
          </w:tcPr>
          <w:p w14:paraId="0EAB776E" w14:textId="77777777" w:rsidR="00F36475" w:rsidRDefault="00F36475" w:rsidP="00F36475">
            <w:pPr>
              <w:pStyle w:val="TableParagraph"/>
              <w:spacing w:before="61"/>
              <w:ind w:left="100"/>
              <w:rPr>
                <w:b/>
                <w:sz w:val="20"/>
              </w:rPr>
            </w:pPr>
            <w:r>
              <w:rPr>
                <w:b/>
                <w:sz w:val="20"/>
              </w:rPr>
              <w:t>1.1</w:t>
            </w:r>
          </w:p>
        </w:tc>
        <w:tc>
          <w:tcPr>
            <w:tcW w:w="6222" w:type="dxa"/>
            <w:shd w:val="clear" w:color="auto" w:fill="E1EED9"/>
          </w:tcPr>
          <w:p w14:paraId="631175D3" w14:textId="77777777" w:rsidR="00F36475" w:rsidRDefault="00F36475" w:rsidP="00F36475">
            <w:pPr>
              <w:pStyle w:val="TableParagraph"/>
              <w:spacing w:before="61"/>
              <w:ind w:left="105"/>
              <w:rPr>
                <w:b/>
                <w:sz w:val="20"/>
              </w:rPr>
            </w:pPr>
            <w:r>
              <w:rPr>
                <w:b/>
                <w:sz w:val="20"/>
              </w:rPr>
              <w:t>Requirements to be approved (cattle tick) feedlot</w:t>
            </w:r>
          </w:p>
        </w:tc>
        <w:tc>
          <w:tcPr>
            <w:tcW w:w="2550" w:type="dxa"/>
            <w:shd w:val="clear" w:color="auto" w:fill="E1EED9"/>
          </w:tcPr>
          <w:p w14:paraId="2FE208B4" w14:textId="77777777" w:rsidR="00F36475" w:rsidRDefault="00F36475" w:rsidP="00F36475">
            <w:pPr>
              <w:pStyle w:val="TableParagraph"/>
              <w:spacing w:before="61"/>
              <w:ind w:left="105"/>
              <w:rPr>
                <w:b/>
                <w:sz w:val="20"/>
              </w:rPr>
            </w:pPr>
            <w:r>
              <w:rPr>
                <w:b/>
                <w:sz w:val="20"/>
              </w:rPr>
              <w:t>Reference Documents</w:t>
            </w:r>
          </w:p>
        </w:tc>
        <w:tc>
          <w:tcPr>
            <w:tcW w:w="4117" w:type="dxa"/>
            <w:shd w:val="clear" w:color="auto" w:fill="E1EED9"/>
          </w:tcPr>
          <w:p w14:paraId="0D74AE32" w14:textId="54F28C5A" w:rsidR="00F36475" w:rsidRDefault="00E75529" w:rsidP="00F36475">
            <w:pPr>
              <w:pStyle w:val="TableParagraph"/>
              <w:spacing w:before="61"/>
              <w:ind w:left="105"/>
              <w:rPr>
                <w:b/>
                <w:sz w:val="20"/>
              </w:rPr>
            </w:pPr>
            <w:r>
              <w:rPr>
                <w:b/>
                <w:sz w:val="20"/>
              </w:rPr>
              <w:t>Details</w:t>
            </w:r>
          </w:p>
        </w:tc>
        <w:tc>
          <w:tcPr>
            <w:tcW w:w="870" w:type="dxa"/>
            <w:shd w:val="clear" w:color="auto" w:fill="E1EED9"/>
          </w:tcPr>
          <w:p w14:paraId="504B6E9C" w14:textId="77777777" w:rsidR="00F36475" w:rsidRDefault="00F36475" w:rsidP="00F36475">
            <w:pPr>
              <w:pStyle w:val="TableParagraph"/>
              <w:spacing w:before="61"/>
              <w:ind w:left="99"/>
              <w:rPr>
                <w:b/>
                <w:sz w:val="20"/>
              </w:rPr>
            </w:pPr>
            <w:r>
              <w:rPr>
                <w:b/>
                <w:sz w:val="20"/>
              </w:rPr>
              <w:t>YES</w:t>
            </w:r>
          </w:p>
          <w:p w14:paraId="78DF2438" w14:textId="77777777" w:rsidR="00F36475" w:rsidRDefault="00F36475" w:rsidP="00F36475">
            <w:pPr>
              <w:pStyle w:val="TableParagraph"/>
              <w:spacing w:before="61"/>
              <w:ind w:left="151" w:right="158"/>
              <w:jc w:val="center"/>
              <w:rPr>
                <w:b/>
                <w:sz w:val="20"/>
              </w:rPr>
            </w:pPr>
          </w:p>
        </w:tc>
      </w:tr>
      <w:tr w:rsidR="00F36475" w14:paraId="78182884" w14:textId="77777777" w:rsidTr="00F36475">
        <w:trPr>
          <w:trHeight w:val="760"/>
        </w:trPr>
        <w:tc>
          <w:tcPr>
            <w:tcW w:w="705" w:type="dxa"/>
          </w:tcPr>
          <w:p w14:paraId="1F8384D0" w14:textId="77777777" w:rsidR="00F36475" w:rsidRDefault="00F36475" w:rsidP="00F36475">
            <w:pPr>
              <w:pStyle w:val="TableParagraph"/>
              <w:spacing w:before="8"/>
              <w:rPr>
                <w:rFonts w:ascii="Times New Roman"/>
              </w:rPr>
            </w:pPr>
          </w:p>
          <w:p w14:paraId="138AE4A6" w14:textId="77777777" w:rsidR="00F36475" w:rsidRDefault="00F36475" w:rsidP="00F36475">
            <w:pPr>
              <w:pStyle w:val="TableParagraph"/>
              <w:ind w:left="100"/>
              <w:rPr>
                <w:sz w:val="20"/>
              </w:rPr>
            </w:pPr>
            <w:r>
              <w:rPr>
                <w:sz w:val="20"/>
              </w:rPr>
              <w:t>1.1.1</w:t>
            </w:r>
          </w:p>
        </w:tc>
        <w:tc>
          <w:tcPr>
            <w:tcW w:w="6222" w:type="dxa"/>
          </w:tcPr>
          <w:p w14:paraId="527279EA" w14:textId="1EF57252" w:rsidR="00F36475" w:rsidRDefault="00F36475" w:rsidP="00F36475">
            <w:pPr>
              <w:pStyle w:val="TableParagraph"/>
              <w:spacing w:before="16"/>
              <w:ind w:left="105" w:right="273"/>
              <w:rPr>
                <w:sz w:val="20"/>
              </w:rPr>
            </w:pPr>
            <w:r>
              <w:rPr>
                <w:sz w:val="20"/>
              </w:rPr>
              <w:t xml:space="preserve">The entire feedlot, including associated yards and handling facilities is separated from surrounding paddocks by a minimum 10 </w:t>
            </w:r>
            <w:proofErr w:type="spellStart"/>
            <w:r>
              <w:rPr>
                <w:sz w:val="20"/>
              </w:rPr>
              <w:t>metre</w:t>
            </w:r>
            <w:proofErr w:type="spellEnd"/>
            <w:r>
              <w:rPr>
                <w:sz w:val="20"/>
              </w:rPr>
              <w:t xml:space="preserve"> buffer area which </w:t>
            </w:r>
            <w:r w:rsidR="000015C1">
              <w:rPr>
                <w:sz w:val="20"/>
              </w:rPr>
              <w:t xml:space="preserve">is always stock free </w:t>
            </w:r>
          </w:p>
        </w:tc>
        <w:tc>
          <w:tcPr>
            <w:tcW w:w="2550" w:type="dxa"/>
          </w:tcPr>
          <w:p w14:paraId="0CBBD609" w14:textId="77777777" w:rsidR="00F36475" w:rsidRDefault="00F36475" w:rsidP="00F36475">
            <w:pPr>
              <w:pStyle w:val="TableParagraph"/>
              <w:spacing w:before="136"/>
              <w:ind w:left="105" w:right="747"/>
              <w:rPr>
                <w:sz w:val="20"/>
              </w:rPr>
            </w:pPr>
          </w:p>
        </w:tc>
        <w:tc>
          <w:tcPr>
            <w:tcW w:w="4117" w:type="dxa"/>
          </w:tcPr>
          <w:p w14:paraId="1D0ECA73" w14:textId="35FC2850" w:rsidR="00F36475" w:rsidRDefault="00E75529" w:rsidP="00F36475">
            <w:pPr>
              <w:pStyle w:val="TableParagraph"/>
              <w:spacing w:before="136"/>
              <w:ind w:left="105"/>
              <w:rPr>
                <w:sz w:val="20"/>
              </w:rPr>
            </w:pPr>
            <w:r>
              <w:rPr>
                <w:sz w:val="20"/>
              </w:rPr>
              <w:t>Need regular fence maintenance to ensure buffer area stays free of stock</w:t>
            </w:r>
          </w:p>
        </w:tc>
        <w:tc>
          <w:tcPr>
            <w:tcW w:w="870" w:type="dxa"/>
          </w:tcPr>
          <w:p w14:paraId="5B795393" w14:textId="77777777" w:rsidR="00F36475" w:rsidRDefault="00F36475" w:rsidP="00F36475">
            <w:pPr>
              <w:pStyle w:val="TableParagraph"/>
              <w:spacing w:before="9"/>
              <w:rPr>
                <w:rFonts w:ascii="Times New Roman"/>
                <w:sz w:val="17"/>
              </w:rPr>
            </w:pPr>
            <w:r>
              <w:rPr>
                <w:rFonts w:ascii="Times New Roman"/>
                <w:noProof/>
                <w:sz w:val="20"/>
                <w:lang w:val="en-AU" w:eastAsia="en-AU"/>
              </w:rPr>
              <w:drawing>
                <wp:anchor distT="0" distB="0" distL="114300" distR="114300" simplePos="0" relativeHeight="251644928" behindDoc="0" locked="0" layoutInCell="1" allowOverlap="1" wp14:anchorId="4BA626D6" wp14:editId="2375E160">
                  <wp:simplePos x="0" y="0"/>
                  <wp:positionH relativeFrom="column">
                    <wp:posOffset>140335</wp:posOffset>
                  </wp:positionH>
                  <wp:positionV relativeFrom="paragraph">
                    <wp:posOffset>130810</wp:posOffset>
                  </wp:positionV>
                  <wp:extent cx="228600" cy="22860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p w14:paraId="58881846" w14:textId="77777777" w:rsidR="00F36475" w:rsidRDefault="00F36475" w:rsidP="00F36475">
            <w:pPr>
              <w:pStyle w:val="TableParagraph"/>
              <w:rPr>
                <w:rFonts w:ascii="Times New Roman"/>
                <w:sz w:val="20"/>
              </w:rPr>
            </w:pPr>
          </w:p>
        </w:tc>
      </w:tr>
      <w:tr w:rsidR="00F36475" w14:paraId="6339F26F" w14:textId="77777777" w:rsidTr="00F36475">
        <w:trPr>
          <w:trHeight w:val="1002"/>
        </w:trPr>
        <w:tc>
          <w:tcPr>
            <w:tcW w:w="705" w:type="dxa"/>
          </w:tcPr>
          <w:p w14:paraId="51D75028" w14:textId="77777777" w:rsidR="00F36475" w:rsidRDefault="00F36475" w:rsidP="00F36475">
            <w:pPr>
              <w:pStyle w:val="TableParagraph"/>
              <w:spacing w:before="7"/>
              <w:rPr>
                <w:rFonts w:ascii="Times New Roman"/>
              </w:rPr>
            </w:pPr>
          </w:p>
          <w:p w14:paraId="4C2AE047" w14:textId="77777777" w:rsidR="00F36475" w:rsidRDefault="00F36475" w:rsidP="00F36475">
            <w:pPr>
              <w:pStyle w:val="TableParagraph"/>
              <w:spacing w:before="1"/>
              <w:ind w:left="100"/>
              <w:rPr>
                <w:sz w:val="20"/>
              </w:rPr>
            </w:pPr>
            <w:r>
              <w:rPr>
                <w:sz w:val="20"/>
              </w:rPr>
              <w:t>1.1.2</w:t>
            </w:r>
          </w:p>
        </w:tc>
        <w:tc>
          <w:tcPr>
            <w:tcW w:w="6222" w:type="dxa"/>
          </w:tcPr>
          <w:p w14:paraId="23EAE427" w14:textId="77777777" w:rsidR="00F36475" w:rsidRPr="0050623C" w:rsidRDefault="00F36475" w:rsidP="00F36475">
            <w:pPr>
              <w:pStyle w:val="TableParagraph"/>
              <w:spacing w:before="135"/>
              <w:ind w:left="105"/>
              <w:rPr>
                <w:sz w:val="20"/>
              </w:rPr>
            </w:pPr>
            <w:r>
              <w:rPr>
                <w:sz w:val="20"/>
              </w:rPr>
              <w:t>The run-off from the feedlot is drained to a retention pond to which stock do not have access to at any time</w:t>
            </w:r>
          </w:p>
        </w:tc>
        <w:tc>
          <w:tcPr>
            <w:tcW w:w="2550" w:type="dxa"/>
          </w:tcPr>
          <w:p w14:paraId="053F7647" w14:textId="77777777" w:rsidR="00F36475" w:rsidRDefault="00F36475" w:rsidP="00F36475">
            <w:pPr>
              <w:pStyle w:val="TableParagraph"/>
              <w:spacing w:before="135"/>
              <w:ind w:left="105"/>
              <w:rPr>
                <w:sz w:val="20"/>
              </w:rPr>
            </w:pPr>
          </w:p>
        </w:tc>
        <w:tc>
          <w:tcPr>
            <w:tcW w:w="4117" w:type="dxa"/>
          </w:tcPr>
          <w:p w14:paraId="6EA9278E" w14:textId="77777777" w:rsidR="00F36475" w:rsidRDefault="00F36475" w:rsidP="00F36475">
            <w:pPr>
              <w:pStyle w:val="TableParagraph"/>
              <w:spacing w:before="18" w:line="237" w:lineRule="auto"/>
              <w:ind w:left="105" w:right="210"/>
              <w:jc w:val="both"/>
              <w:rPr>
                <w:sz w:val="20"/>
              </w:rPr>
            </w:pPr>
          </w:p>
        </w:tc>
        <w:tc>
          <w:tcPr>
            <w:tcW w:w="870" w:type="dxa"/>
          </w:tcPr>
          <w:p w14:paraId="6A5F6167" w14:textId="77777777" w:rsidR="00F36475" w:rsidRDefault="00F36475" w:rsidP="00F36475">
            <w:pPr>
              <w:pStyle w:val="TableParagraph"/>
              <w:spacing w:before="6"/>
              <w:rPr>
                <w:rFonts w:ascii="Times New Roman"/>
                <w:sz w:val="17"/>
              </w:rPr>
            </w:pPr>
            <w:r>
              <w:rPr>
                <w:rFonts w:ascii="Times New Roman"/>
                <w:noProof/>
                <w:sz w:val="20"/>
                <w:lang w:val="en-AU" w:eastAsia="en-AU"/>
              </w:rPr>
              <w:drawing>
                <wp:anchor distT="0" distB="0" distL="114300" distR="114300" simplePos="0" relativeHeight="251648000" behindDoc="0" locked="0" layoutInCell="1" allowOverlap="1" wp14:anchorId="0CCD3257" wp14:editId="7C53D2AC">
                  <wp:simplePos x="0" y="0"/>
                  <wp:positionH relativeFrom="margin">
                    <wp:posOffset>144780</wp:posOffset>
                  </wp:positionH>
                  <wp:positionV relativeFrom="paragraph">
                    <wp:posOffset>118110</wp:posOffset>
                  </wp:positionV>
                  <wp:extent cx="228600" cy="22860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p w14:paraId="68289F22" w14:textId="77777777" w:rsidR="00F36475" w:rsidRDefault="00F36475" w:rsidP="00F36475">
            <w:pPr>
              <w:pStyle w:val="TableParagraph"/>
              <w:ind w:left="103"/>
              <w:rPr>
                <w:rFonts w:ascii="Times New Roman"/>
                <w:sz w:val="20"/>
              </w:rPr>
            </w:pPr>
          </w:p>
          <w:p w14:paraId="796DB8B6" w14:textId="77777777" w:rsidR="00F36475" w:rsidRDefault="00F36475" w:rsidP="00F36475">
            <w:pPr>
              <w:pStyle w:val="TableParagraph"/>
              <w:spacing w:before="6"/>
              <w:rPr>
                <w:rFonts w:ascii="Times New Roman"/>
                <w:sz w:val="17"/>
              </w:rPr>
            </w:pPr>
          </w:p>
          <w:p w14:paraId="01540466" w14:textId="77777777" w:rsidR="00F36475" w:rsidRDefault="00F36475" w:rsidP="00F36475">
            <w:pPr>
              <w:pStyle w:val="TableParagraph"/>
              <w:ind w:left="127"/>
              <w:rPr>
                <w:rFonts w:ascii="Times New Roman"/>
                <w:sz w:val="20"/>
              </w:rPr>
            </w:pPr>
          </w:p>
          <w:p w14:paraId="0F396E49" w14:textId="77777777" w:rsidR="00F36475" w:rsidRDefault="00F36475" w:rsidP="00F36475">
            <w:pPr>
              <w:pStyle w:val="TableParagraph"/>
              <w:spacing w:before="6"/>
              <w:rPr>
                <w:rFonts w:ascii="Times New Roman"/>
                <w:sz w:val="17"/>
              </w:rPr>
            </w:pPr>
          </w:p>
          <w:p w14:paraId="2948A6F6" w14:textId="77777777" w:rsidR="00F36475" w:rsidRDefault="00F36475" w:rsidP="00F36475">
            <w:pPr>
              <w:pStyle w:val="TableParagraph"/>
              <w:ind w:left="186"/>
              <w:rPr>
                <w:rFonts w:ascii="Times New Roman"/>
                <w:sz w:val="20"/>
              </w:rPr>
            </w:pPr>
          </w:p>
        </w:tc>
      </w:tr>
      <w:tr w:rsidR="00F36475" w14:paraId="25C42D73" w14:textId="77777777" w:rsidTr="00F36475">
        <w:trPr>
          <w:trHeight w:val="836"/>
        </w:trPr>
        <w:tc>
          <w:tcPr>
            <w:tcW w:w="705" w:type="dxa"/>
          </w:tcPr>
          <w:p w14:paraId="41168452" w14:textId="77777777" w:rsidR="00F36475" w:rsidRDefault="00F36475" w:rsidP="00F36475">
            <w:pPr>
              <w:pStyle w:val="TableParagraph"/>
              <w:spacing w:before="6"/>
              <w:rPr>
                <w:rFonts w:ascii="Times New Roman"/>
                <w:sz w:val="23"/>
              </w:rPr>
            </w:pPr>
          </w:p>
          <w:p w14:paraId="17DF26D7" w14:textId="77777777" w:rsidR="00F36475" w:rsidRDefault="00F36475" w:rsidP="00F36475">
            <w:pPr>
              <w:pStyle w:val="TableParagraph"/>
              <w:ind w:left="100"/>
              <w:rPr>
                <w:sz w:val="20"/>
              </w:rPr>
            </w:pPr>
            <w:r>
              <w:rPr>
                <w:sz w:val="20"/>
              </w:rPr>
              <w:t>1.1.3</w:t>
            </w:r>
          </w:p>
        </w:tc>
        <w:tc>
          <w:tcPr>
            <w:tcW w:w="6222" w:type="dxa"/>
          </w:tcPr>
          <w:p w14:paraId="66E1D2E8" w14:textId="492F8709" w:rsidR="00F36475" w:rsidRDefault="00F36475" w:rsidP="00F36475">
            <w:pPr>
              <w:pStyle w:val="TableParagraph"/>
              <w:spacing w:before="21"/>
              <w:ind w:left="105"/>
              <w:rPr>
                <w:sz w:val="20"/>
              </w:rPr>
            </w:pPr>
            <w:r>
              <w:rPr>
                <w:sz w:val="20"/>
              </w:rPr>
              <w:t xml:space="preserve">The feedlot pens and associated handling facilities </w:t>
            </w:r>
            <w:r w:rsidR="000015C1">
              <w:rPr>
                <w:sz w:val="20"/>
              </w:rPr>
              <w:t xml:space="preserve">are always kept free of vegetation </w:t>
            </w:r>
          </w:p>
        </w:tc>
        <w:tc>
          <w:tcPr>
            <w:tcW w:w="2550" w:type="dxa"/>
          </w:tcPr>
          <w:p w14:paraId="0064EF18" w14:textId="77777777" w:rsidR="00F36475" w:rsidRDefault="00F36475" w:rsidP="00F36475">
            <w:pPr>
              <w:pStyle w:val="TableParagraph"/>
              <w:spacing w:before="21"/>
              <w:ind w:left="105"/>
              <w:rPr>
                <w:sz w:val="20"/>
              </w:rPr>
            </w:pPr>
          </w:p>
        </w:tc>
        <w:tc>
          <w:tcPr>
            <w:tcW w:w="4117" w:type="dxa"/>
          </w:tcPr>
          <w:p w14:paraId="3B3512E8" w14:textId="77777777" w:rsidR="00F36475" w:rsidRDefault="00F36475" w:rsidP="00F36475">
            <w:pPr>
              <w:pStyle w:val="TableParagraph"/>
              <w:spacing w:before="26"/>
              <w:ind w:left="105"/>
              <w:rPr>
                <w:sz w:val="20"/>
              </w:rPr>
            </w:pPr>
          </w:p>
        </w:tc>
        <w:tc>
          <w:tcPr>
            <w:tcW w:w="870" w:type="dxa"/>
          </w:tcPr>
          <w:p w14:paraId="7E23280B" w14:textId="77777777" w:rsidR="00F36475" w:rsidRDefault="00F36475" w:rsidP="00F36475">
            <w:pPr>
              <w:pStyle w:val="TableParagraph"/>
              <w:spacing w:before="6"/>
              <w:rPr>
                <w:rFonts w:ascii="Times New Roman"/>
                <w:sz w:val="20"/>
              </w:rPr>
            </w:pPr>
            <w:r>
              <w:rPr>
                <w:rFonts w:ascii="Times New Roman"/>
                <w:noProof/>
                <w:sz w:val="20"/>
                <w:lang w:val="en-AU" w:eastAsia="en-AU"/>
              </w:rPr>
              <w:drawing>
                <wp:anchor distT="0" distB="0" distL="114300" distR="114300" simplePos="0" relativeHeight="251651072" behindDoc="0" locked="0" layoutInCell="1" allowOverlap="1" wp14:anchorId="21973E9C" wp14:editId="36C61688">
                  <wp:simplePos x="0" y="0"/>
                  <wp:positionH relativeFrom="column">
                    <wp:posOffset>140335</wp:posOffset>
                  </wp:positionH>
                  <wp:positionV relativeFrom="paragraph">
                    <wp:posOffset>70485</wp:posOffset>
                  </wp:positionV>
                  <wp:extent cx="228600" cy="228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tc>
      </w:tr>
      <w:tr w:rsidR="00F36475" w14:paraId="4DE1267A" w14:textId="77777777" w:rsidTr="00F36475">
        <w:trPr>
          <w:trHeight w:val="780"/>
        </w:trPr>
        <w:tc>
          <w:tcPr>
            <w:tcW w:w="705" w:type="dxa"/>
          </w:tcPr>
          <w:p w14:paraId="72106D91" w14:textId="77777777" w:rsidR="00F36475" w:rsidRDefault="00F36475" w:rsidP="00F36475">
            <w:pPr>
              <w:pStyle w:val="TableParagraph"/>
              <w:spacing w:before="6"/>
              <w:rPr>
                <w:rFonts w:ascii="Times New Roman"/>
                <w:sz w:val="23"/>
              </w:rPr>
            </w:pPr>
            <w:r>
              <w:rPr>
                <w:rFonts w:ascii="Times New Roman"/>
                <w:sz w:val="23"/>
              </w:rPr>
              <w:t>1.1.4</w:t>
            </w:r>
          </w:p>
        </w:tc>
        <w:tc>
          <w:tcPr>
            <w:tcW w:w="6222" w:type="dxa"/>
          </w:tcPr>
          <w:p w14:paraId="7B4836E1" w14:textId="77777777" w:rsidR="00F36475" w:rsidRDefault="00F36475" w:rsidP="00F36475">
            <w:pPr>
              <w:pStyle w:val="TableParagraph"/>
              <w:spacing w:before="21"/>
              <w:ind w:left="105"/>
              <w:rPr>
                <w:sz w:val="20"/>
              </w:rPr>
            </w:pPr>
            <w:r>
              <w:rPr>
                <w:sz w:val="20"/>
              </w:rPr>
              <w:t xml:space="preserve">The feedlot </w:t>
            </w:r>
            <w:r w:rsidRPr="000178DF">
              <w:rPr>
                <w:sz w:val="20"/>
              </w:rPr>
              <w:t xml:space="preserve">licensed </w:t>
            </w:r>
            <w:r>
              <w:rPr>
                <w:sz w:val="20"/>
              </w:rPr>
              <w:t>by DECCW</w:t>
            </w:r>
          </w:p>
        </w:tc>
        <w:tc>
          <w:tcPr>
            <w:tcW w:w="2550" w:type="dxa"/>
          </w:tcPr>
          <w:p w14:paraId="1C6E4276" w14:textId="77777777" w:rsidR="00F36475" w:rsidRDefault="00F36475" w:rsidP="00F36475">
            <w:pPr>
              <w:pStyle w:val="TableParagraph"/>
              <w:spacing w:before="16"/>
              <w:ind w:left="105"/>
              <w:rPr>
                <w:sz w:val="20"/>
              </w:rPr>
            </w:pPr>
          </w:p>
        </w:tc>
        <w:tc>
          <w:tcPr>
            <w:tcW w:w="4117" w:type="dxa"/>
          </w:tcPr>
          <w:p w14:paraId="4CF871EC" w14:textId="77777777" w:rsidR="00F36475" w:rsidRDefault="00F36475" w:rsidP="00F36475">
            <w:pPr>
              <w:pStyle w:val="TableParagraph"/>
              <w:spacing w:before="26"/>
              <w:ind w:left="105"/>
              <w:rPr>
                <w:sz w:val="20"/>
              </w:rPr>
            </w:pPr>
          </w:p>
        </w:tc>
        <w:tc>
          <w:tcPr>
            <w:tcW w:w="870" w:type="dxa"/>
          </w:tcPr>
          <w:p w14:paraId="72374864" w14:textId="77777777" w:rsidR="00F36475" w:rsidRDefault="00F36475" w:rsidP="00F36475">
            <w:pPr>
              <w:pStyle w:val="TableParagraph"/>
              <w:spacing w:before="6"/>
              <w:rPr>
                <w:rFonts w:ascii="Times New Roman"/>
                <w:sz w:val="18"/>
              </w:rPr>
            </w:pPr>
          </w:p>
        </w:tc>
      </w:tr>
      <w:tr w:rsidR="00F36475" w14:paraId="57A7EED1" w14:textId="77777777" w:rsidTr="00F36475">
        <w:trPr>
          <w:trHeight w:val="780"/>
        </w:trPr>
        <w:tc>
          <w:tcPr>
            <w:tcW w:w="705" w:type="dxa"/>
          </w:tcPr>
          <w:p w14:paraId="518E03CA" w14:textId="77777777" w:rsidR="00F36475" w:rsidRDefault="00F36475" w:rsidP="00F36475">
            <w:pPr>
              <w:pStyle w:val="TableParagraph"/>
              <w:spacing w:before="6"/>
              <w:rPr>
                <w:rFonts w:ascii="Times New Roman"/>
                <w:sz w:val="23"/>
              </w:rPr>
            </w:pPr>
            <w:r>
              <w:rPr>
                <w:rFonts w:ascii="Times New Roman"/>
                <w:sz w:val="23"/>
              </w:rPr>
              <w:t>1.1.5</w:t>
            </w:r>
          </w:p>
        </w:tc>
        <w:tc>
          <w:tcPr>
            <w:tcW w:w="6222" w:type="dxa"/>
          </w:tcPr>
          <w:p w14:paraId="503444AF" w14:textId="77777777" w:rsidR="00F36475" w:rsidRDefault="00F36475" w:rsidP="00F36475">
            <w:pPr>
              <w:pStyle w:val="TableParagraph"/>
              <w:spacing w:before="21"/>
              <w:ind w:left="105"/>
              <w:rPr>
                <w:sz w:val="20"/>
              </w:rPr>
            </w:pPr>
            <w:r>
              <w:rPr>
                <w:sz w:val="20"/>
              </w:rPr>
              <w:t xml:space="preserve">Any suspect ticks detected on cattle at the feedlot have been submitted to an </w:t>
            </w:r>
            <w:proofErr w:type="spellStart"/>
            <w:r>
              <w:rPr>
                <w:sz w:val="20"/>
              </w:rPr>
              <w:t>Authorised</w:t>
            </w:r>
            <w:proofErr w:type="spellEnd"/>
            <w:r>
              <w:rPr>
                <w:sz w:val="20"/>
              </w:rPr>
              <w:t xml:space="preserve"> Officer in LLS or NSW DPI for identification </w:t>
            </w:r>
          </w:p>
        </w:tc>
        <w:tc>
          <w:tcPr>
            <w:tcW w:w="2550" w:type="dxa"/>
          </w:tcPr>
          <w:p w14:paraId="003BC16C" w14:textId="0B2AE033" w:rsidR="00F36475" w:rsidRPr="008727C3" w:rsidRDefault="00350773" w:rsidP="00F36475">
            <w:pPr>
              <w:pStyle w:val="TableParagraph"/>
              <w:spacing w:before="16"/>
              <w:ind w:left="105"/>
              <w:rPr>
                <w:sz w:val="20"/>
                <w:szCs w:val="20"/>
              </w:rPr>
            </w:pPr>
            <w:hyperlink r:id="rId16" w:history="1">
              <w:r w:rsidR="008727C3" w:rsidRPr="008727C3">
                <w:rPr>
                  <w:rFonts w:eastAsiaTheme="minorHAnsi"/>
                  <w:color w:val="0000FF"/>
                  <w:sz w:val="20"/>
                  <w:szCs w:val="20"/>
                  <w:u w:val="single"/>
                  <w:lang w:val="en-AU"/>
                </w:rPr>
                <w:t>Collection and storage of suspect cattle ticks</w:t>
              </w:r>
            </w:hyperlink>
          </w:p>
        </w:tc>
        <w:tc>
          <w:tcPr>
            <w:tcW w:w="4117" w:type="dxa"/>
          </w:tcPr>
          <w:p w14:paraId="0F780987" w14:textId="1CD7AE36" w:rsidR="00F36475" w:rsidRDefault="00CC0886" w:rsidP="00F36475">
            <w:pPr>
              <w:pStyle w:val="TableParagraph"/>
              <w:spacing w:before="26"/>
              <w:ind w:left="105"/>
              <w:rPr>
                <w:sz w:val="20"/>
              </w:rPr>
            </w:pPr>
            <w:r w:rsidRPr="00CC0886">
              <w:rPr>
                <w:sz w:val="20"/>
                <w:lang w:val="en-AU"/>
              </w:rPr>
              <w:t xml:space="preserve">Supplies of bottles to use for storing ticks can be obtained from </w:t>
            </w:r>
            <w:proofErr w:type="gramStart"/>
            <w:r w:rsidRPr="00CC0886">
              <w:rPr>
                <w:sz w:val="20"/>
                <w:lang w:val="en-AU"/>
              </w:rPr>
              <w:t>a</w:t>
            </w:r>
            <w:proofErr w:type="gramEnd"/>
            <w:r w:rsidRPr="00CC0886">
              <w:rPr>
                <w:sz w:val="20"/>
                <w:lang w:val="en-AU"/>
              </w:rPr>
              <w:t xml:space="preserve"> NSW DPI or LLS office. The suspect ticks can be taken to </w:t>
            </w:r>
            <w:proofErr w:type="gramStart"/>
            <w:r w:rsidRPr="00CC0886">
              <w:rPr>
                <w:sz w:val="20"/>
                <w:lang w:val="en-AU"/>
              </w:rPr>
              <w:t>a</w:t>
            </w:r>
            <w:proofErr w:type="gramEnd"/>
            <w:r w:rsidRPr="00CC0886">
              <w:rPr>
                <w:sz w:val="20"/>
                <w:lang w:val="en-AU"/>
              </w:rPr>
              <w:t xml:space="preserve"> NSW DPI or LLS office</w:t>
            </w:r>
            <w:r w:rsidR="000015C1">
              <w:rPr>
                <w:sz w:val="20"/>
                <w:lang w:val="en-AU"/>
              </w:rPr>
              <w:t xml:space="preserve"> for identification</w:t>
            </w:r>
            <w:r>
              <w:rPr>
                <w:sz w:val="20"/>
                <w:lang w:val="en-AU"/>
              </w:rPr>
              <w:t>.</w:t>
            </w:r>
          </w:p>
        </w:tc>
        <w:tc>
          <w:tcPr>
            <w:tcW w:w="870" w:type="dxa"/>
          </w:tcPr>
          <w:p w14:paraId="0B1249DA" w14:textId="77777777" w:rsidR="00F36475" w:rsidRDefault="00F36475" w:rsidP="00F36475">
            <w:pPr>
              <w:pStyle w:val="TableParagraph"/>
              <w:spacing w:before="6"/>
              <w:rPr>
                <w:rFonts w:ascii="Times New Roman"/>
                <w:sz w:val="18"/>
              </w:rPr>
            </w:pPr>
            <w:r>
              <w:rPr>
                <w:rFonts w:ascii="Times New Roman"/>
                <w:noProof/>
                <w:sz w:val="20"/>
                <w:lang w:val="en-AU" w:eastAsia="en-AU"/>
              </w:rPr>
              <w:drawing>
                <wp:anchor distT="0" distB="0" distL="114300" distR="114300" simplePos="0" relativeHeight="251654144" behindDoc="0" locked="0" layoutInCell="1" allowOverlap="1" wp14:anchorId="1E9F9EFA" wp14:editId="685B3798">
                  <wp:simplePos x="0" y="0"/>
                  <wp:positionH relativeFrom="column">
                    <wp:posOffset>140335</wp:posOffset>
                  </wp:positionH>
                  <wp:positionV relativeFrom="paragraph">
                    <wp:posOffset>-408940</wp:posOffset>
                  </wp:positionV>
                  <wp:extent cx="228600" cy="22860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tc>
      </w:tr>
      <w:tr w:rsidR="00F36475" w14:paraId="4286E0DC" w14:textId="77777777" w:rsidTr="00F36475">
        <w:trPr>
          <w:trHeight w:val="780"/>
        </w:trPr>
        <w:tc>
          <w:tcPr>
            <w:tcW w:w="705" w:type="dxa"/>
          </w:tcPr>
          <w:p w14:paraId="6081A3EB" w14:textId="77777777" w:rsidR="00F36475" w:rsidRDefault="00F36475" w:rsidP="00F36475">
            <w:pPr>
              <w:pStyle w:val="TableParagraph"/>
              <w:spacing w:before="6"/>
              <w:rPr>
                <w:rFonts w:ascii="Times New Roman"/>
                <w:sz w:val="23"/>
              </w:rPr>
            </w:pPr>
            <w:r>
              <w:rPr>
                <w:rFonts w:ascii="Times New Roman"/>
                <w:sz w:val="23"/>
              </w:rPr>
              <w:t>1.1.6</w:t>
            </w:r>
          </w:p>
        </w:tc>
        <w:tc>
          <w:tcPr>
            <w:tcW w:w="6222" w:type="dxa"/>
          </w:tcPr>
          <w:p w14:paraId="687A522C" w14:textId="77777777" w:rsidR="00F36475" w:rsidRDefault="00F36475" w:rsidP="00F36475">
            <w:pPr>
              <w:pStyle w:val="TableParagraph"/>
              <w:spacing w:before="21"/>
              <w:ind w:left="105"/>
              <w:rPr>
                <w:sz w:val="20"/>
              </w:rPr>
            </w:pPr>
            <w:r>
              <w:rPr>
                <w:sz w:val="20"/>
              </w:rPr>
              <w:t>Cattle are not removed from feedlot pens for husbandry, drafting or loading purposes for any longer than is necessary for the performance of such purposes</w:t>
            </w:r>
          </w:p>
        </w:tc>
        <w:tc>
          <w:tcPr>
            <w:tcW w:w="2550" w:type="dxa"/>
          </w:tcPr>
          <w:p w14:paraId="37AF6017" w14:textId="77777777" w:rsidR="00F36475" w:rsidRDefault="00F36475" w:rsidP="00F36475">
            <w:pPr>
              <w:pStyle w:val="TableParagraph"/>
              <w:spacing w:before="16"/>
              <w:ind w:left="105"/>
              <w:rPr>
                <w:sz w:val="20"/>
              </w:rPr>
            </w:pPr>
          </w:p>
        </w:tc>
        <w:tc>
          <w:tcPr>
            <w:tcW w:w="4117" w:type="dxa"/>
          </w:tcPr>
          <w:p w14:paraId="5E0620BB" w14:textId="77777777" w:rsidR="00F36475" w:rsidRDefault="00F36475" w:rsidP="00F36475">
            <w:pPr>
              <w:pStyle w:val="TableParagraph"/>
              <w:spacing w:before="26"/>
              <w:ind w:left="105"/>
              <w:rPr>
                <w:sz w:val="20"/>
              </w:rPr>
            </w:pPr>
          </w:p>
        </w:tc>
        <w:tc>
          <w:tcPr>
            <w:tcW w:w="870" w:type="dxa"/>
          </w:tcPr>
          <w:p w14:paraId="2C227FA0" w14:textId="77777777" w:rsidR="00F36475" w:rsidRDefault="00F36475" w:rsidP="00F36475">
            <w:pPr>
              <w:pStyle w:val="TableParagraph"/>
              <w:spacing w:before="6"/>
              <w:rPr>
                <w:rFonts w:ascii="Times New Roman"/>
                <w:sz w:val="18"/>
              </w:rPr>
            </w:pPr>
            <w:r>
              <w:rPr>
                <w:rFonts w:ascii="Times New Roman"/>
                <w:noProof/>
                <w:sz w:val="20"/>
                <w:lang w:val="en-AU" w:eastAsia="en-AU"/>
              </w:rPr>
              <w:drawing>
                <wp:anchor distT="0" distB="0" distL="114300" distR="114300" simplePos="0" relativeHeight="251657216" behindDoc="0" locked="0" layoutInCell="1" allowOverlap="1" wp14:anchorId="353B71A0" wp14:editId="0E70BA68">
                  <wp:simplePos x="0" y="0"/>
                  <wp:positionH relativeFrom="column">
                    <wp:posOffset>140335</wp:posOffset>
                  </wp:positionH>
                  <wp:positionV relativeFrom="paragraph">
                    <wp:posOffset>-349250</wp:posOffset>
                  </wp:positionV>
                  <wp:extent cx="228600" cy="22860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tc>
      </w:tr>
      <w:tr w:rsidR="00F36475" w14:paraId="00A8645B" w14:textId="77777777" w:rsidTr="00F36475">
        <w:trPr>
          <w:trHeight w:val="780"/>
        </w:trPr>
        <w:tc>
          <w:tcPr>
            <w:tcW w:w="705" w:type="dxa"/>
            <w:shd w:val="clear" w:color="auto" w:fill="DFEFE1" w:themeFill="accent3" w:themeFillTint="66"/>
          </w:tcPr>
          <w:p w14:paraId="4B6D398E" w14:textId="77777777" w:rsidR="00F36475" w:rsidRDefault="00F36475" w:rsidP="00F36475">
            <w:pPr>
              <w:pStyle w:val="TableParagraph"/>
              <w:spacing w:before="61"/>
              <w:ind w:left="100"/>
              <w:rPr>
                <w:b/>
                <w:sz w:val="20"/>
              </w:rPr>
            </w:pPr>
            <w:r>
              <w:rPr>
                <w:b/>
                <w:sz w:val="20"/>
              </w:rPr>
              <w:t>1.2</w:t>
            </w:r>
          </w:p>
        </w:tc>
        <w:tc>
          <w:tcPr>
            <w:tcW w:w="6222" w:type="dxa"/>
            <w:shd w:val="clear" w:color="auto" w:fill="DFEFE1" w:themeFill="accent3" w:themeFillTint="66"/>
          </w:tcPr>
          <w:p w14:paraId="3845CA10" w14:textId="77777777" w:rsidR="00F36475" w:rsidRDefault="00F36475" w:rsidP="00F36475">
            <w:pPr>
              <w:pStyle w:val="TableParagraph"/>
              <w:spacing w:before="61"/>
              <w:ind w:left="105"/>
              <w:rPr>
                <w:b/>
                <w:sz w:val="20"/>
              </w:rPr>
            </w:pPr>
            <w:r>
              <w:rPr>
                <w:b/>
                <w:sz w:val="20"/>
              </w:rPr>
              <w:t>Livestock transport</w:t>
            </w:r>
          </w:p>
        </w:tc>
        <w:tc>
          <w:tcPr>
            <w:tcW w:w="2550" w:type="dxa"/>
            <w:shd w:val="clear" w:color="auto" w:fill="DFEFE1" w:themeFill="accent3" w:themeFillTint="66"/>
          </w:tcPr>
          <w:p w14:paraId="68659A9B" w14:textId="77777777" w:rsidR="00F36475" w:rsidRDefault="00F36475" w:rsidP="00F36475">
            <w:pPr>
              <w:pStyle w:val="TableParagraph"/>
              <w:spacing w:before="61"/>
              <w:ind w:left="105"/>
              <w:rPr>
                <w:b/>
                <w:sz w:val="20"/>
              </w:rPr>
            </w:pPr>
            <w:r>
              <w:rPr>
                <w:b/>
                <w:sz w:val="20"/>
              </w:rPr>
              <w:t>Reference Documents</w:t>
            </w:r>
          </w:p>
        </w:tc>
        <w:tc>
          <w:tcPr>
            <w:tcW w:w="4117" w:type="dxa"/>
            <w:shd w:val="clear" w:color="auto" w:fill="DFEFE1" w:themeFill="accent3" w:themeFillTint="66"/>
          </w:tcPr>
          <w:p w14:paraId="1CE92180" w14:textId="77FF2C3D" w:rsidR="00F36475" w:rsidRDefault="00E75529" w:rsidP="00F36475">
            <w:pPr>
              <w:pStyle w:val="TableParagraph"/>
              <w:spacing w:before="61"/>
              <w:ind w:left="105"/>
              <w:rPr>
                <w:b/>
                <w:sz w:val="20"/>
              </w:rPr>
            </w:pPr>
            <w:r>
              <w:rPr>
                <w:b/>
                <w:sz w:val="20"/>
              </w:rPr>
              <w:t>Details</w:t>
            </w:r>
          </w:p>
        </w:tc>
        <w:tc>
          <w:tcPr>
            <w:tcW w:w="870" w:type="dxa"/>
            <w:shd w:val="clear" w:color="auto" w:fill="DFEFE1" w:themeFill="accent3" w:themeFillTint="66"/>
          </w:tcPr>
          <w:p w14:paraId="36B6E246" w14:textId="77777777" w:rsidR="00F36475" w:rsidRDefault="00F36475" w:rsidP="00F36475">
            <w:pPr>
              <w:pStyle w:val="TableParagraph"/>
              <w:spacing w:before="61"/>
              <w:ind w:left="139"/>
              <w:rPr>
                <w:b/>
                <w:sz w:val="20"/>
              </w:rPr>
            </w:pPr>
            <w:r>
              <w:rPr>
                <w:rFonts w:ascii="Times New Roman"/>
                <w:noProof/>
                <w:sz w:val="20"/>
                <w:lang w:val="en-AU" w:eastAsia="en-AU"/>
              </w:rPr>
              <w:drawing>
                <wp:anchor distT="0" distB="0" distL="114300" distR="114300" simplePos="0" relativeHeight="251660288" behindDoc="0" locked="0" layoutInCell="1" allowOverlap="1" wp14:anchorId="6A0ECBA5" wp14:editId="15ABE8BF">
                  <wp:simplePos x="0" y="0"/>
                  <wp:positionH relativeFrom="column">
                    <wp:posOffset>140335</wp:posOffset>
                  </wp:positionH>
                  <wp:positionV relativeFrom="paragraph">
                    <wp:posOffset>-355600</wp:posOffset>
                  </wp:positionV>
                  <wp:extent cx="228600" cy="2286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b/>
                <w:sz w:val="20"/>
              </w:rPr>
              <w:t>YES</w:t>
            </w:r>
          </w:p>
          <w:p w14:paraId="211368CE" w14:textId="77777777" w:rsidR="00F36475" w:rsidRDefault="00F36475" w:rsidP="00F36475">
            <w:pPr>
              <w:pStyle w:val="TableParagraph"/>
              <w:spacing w:before="61"/>
              <w:ind w:left="159" w:right="149"/>
              <w:jc w:val="center"/>
              <w:rPr>
                <w:b/>
                <w:sz w:val="20"/>
              </w:rPr>
            </w:pPr>
          </w:p>
        </w:tc>
      </w:tr>
      <w:tr w:rsidR="00F36475" w14:paraId="13F38120" w14:textId="77777777" w:rsidTr="00F36475">
        <w:trPr>
          <w:trHeight w:val="780"/>
        </w:trPr>
        <w:tc>
          <w:tcPr>
            <w:tcW w:w="705" w:type="dxa"/>
          </w:tcPr>
          <w:p w14:paraId="571EAF67" w14:textId="77777777" w:rsidR="00F36475" w:rsidRDefault="00F36475" w:rsidP="00F36475">
            <w:pPr>
              <w:pStyle w:val="TableParagraph"/>
              <w:spacing w:before="61"/>
              <w:ind w:left="100"/>
              <w:rPr>
                <w:b/>
                <w:sz w:val="20"/>
              </w:rPr>
            </w:pPr>
            <w:r>
              <w:rPr>
                <w:b/>
                <w:sz w:val="20"/>
              </w:rPr>
              <w:t>1.2.1</w:t>
            </w:r>
          </w:p>
        </w:tc>
        <w:tc>
          <w:tcPr>
            <w:tcW w:w="6222" w:type="dxa"/>
          </w:tcPr>
          <w:p w14:paraId="4F3BF309" w14:textId="77777777" w:rsidR="00F36475" w:rsidRDefault="00F36475" w:rsidP="00F36475">
            <w:pPr>
              <w:pStyle w:val="TableParagraph"/>
              <w:spacing w:before="61"/>
              <w:ind w:left="105"/>
              <w:rPr>
                <w:sz w:val="20"/>
              </w:rPr>
            </w:pPr>
            <w:r>
              <w:rPr>
                <w:sz w:val="20"/>
              </w:rPr>
              <w:t>All trucks that are used to transport concessional cattle are cleaned in a grass free area (</w:t>
            </w:r>
            <w:proofErr w:type="spellStart"/>
            <w:r>
              <w:rPr>
                <w:sz w:val="20"/>
              </w:rPr>
              <w:t>eg.</w:t>
            </w:r>
            <w:proofErr w:type="spellEnd"/>
            <w:r>
              <w:rPr>
                <w:sz w:val="20"/>
              </w:rPr>
              <w:t xml:space="preserve"> Gravel or concrete area) preferably where washings and effluent can be contained by a drain, pit or sump</w:t>
            </w:r>
          </w:p>
          <w:p w14:paraId="49E785CC" w14:textId="77777777" w:rsidR="00F36475" w:rsidRPr="00AB2056" w:rsidRDefault="00F36475" w:rsidP="00F36475">
            <w:pPr>
              <w:pStyle w:val="TableParagraph"/>
              <w:spacing w:before="61"/>
              <w:rPr>
                <w:sz w:val="20"/>
              </w:rPr>
            </w:pPr>
          </w:p>
        </w:tc>
        <w:tc>
          <w:tcPr>
            <w:tcW w:w="2550" w:type="dxa"/>
          </w:tcPr>
          <w:p w14:paraId="5204C1AB" w14:textId="77777777" w:rsidR="00F36475" w:rsidRDefault="00F36475" w:rsidP="00F36475">
            <w:pPr>
              <w:pStyle w:val="TableParagraph"/>
              <w:spacing w:before="61"/>
              <w:ind w:left="105"/>
              <w:rPr>
                <w:b/>
                <w:sz w:val="20"/>
              </w:rPr>
            </w:pPr>
          </w:p>
        </w:tc>
        <w:tc>
          <w:tcPr>
            <w:tcW w:w="4117" w:type="dxa"/>
          </w:tcPr>
          <w:p w14:paraId="1B869FCE" w14:textId="77777777" w:rsidR="00F36475" w:rsidRDefault="00F36475" w:rsidP="00F36475">
            <w:pPr>
              <w:pStyle w:val="TableParagraph"/>
              <w:spacing w:before="61"/>
              <w:ind w:left="105"/>
              <w:rPr>
                <w:b/>
                <w:sz w:val="20"/>
              </w:rPr>
            </w:pPr>
            <w:r>
              <w:rPr>
                <w:sz w:val="20"/>
              </w:rPr>
              <w:t>Trucks returning directly to Qld are exempted from this provision.</w:t>
            </w:r>
          </w:p>
        </w:tc>
        <w:tc>
          <w:tcPr>
            <w:tcW w:w="870" w:type="dxa"/>
          </w:tcPr>
          <w:p w14:paraId="16AD5DC8" w14:textId="77777777" w:rsidR="00F36475" w:rsidRDefault="00F36475" w:rsidP="00F36475">
            <w:pPr>
              <w:pStyle w:val="TableParagraph"/>
              <w:spacing w:before="61"/>
              <w:ind w:left="159" w:right="149"/>
              <w:jc w:val="center"/>
              <w:rPr>
                <w:b/>
                <w:sz w:val="20"/>
              </w:rPr>
            </w:pPr>
          </w:p>
        </w:tc>
      </w:tr>
      <w:tr w:rsidR="00F36475" w14:paraId="50B3817B" w14:textId="77777777" w:rsidTr="00F36475">
        <w:trPr>
          <w:trHeight w:val="780"/>
        </w:trPr>
        <w:tc>
          <w:tcPr>
            <w:tcW w:w="705" w:type="dxa"/>
          </w:tcPr>
          <w:p w14:paraId="7FAD5654" w14:textId="77777777" w:rsidR="00F36475" w:rsidRDefault="00F36475" w:rsidP="00F36475">
            <w:pPr>
              <w:pStyle w:val="TableParagraph"/>
              <w:spacing w:before="61"/>
              <w:ind w:left="100"/>
              <w:rPr>
                <w:b/>
                <w:sz w:val="20"/>
              </w:rPr>
            </w:pPr>
            <w:r>
              <w:rPr>
                <w:b/>
                <w:sz w:val="20"/>
              </w:rPr>
              <w:t>1.2.2</w:t>
            </w:r>
          </w:p>
        </w:tc>
        <w:tc>
          <w:tcPr>
            <w:tcW w:w="6222" w:type="dxa"/>
          </w:tcPr>
          <w:p w14:paraId="37D5CD13" w14:textId="135119C6" w:rsidR="00F36475" w:rsidRDefault="00F36475" w:rsidP="00F36475">
            <w:pPr>
              <w:pStyle w:val="TableParagraph"/>
              <w:spacing w:before="61"/>
              <w:ind w:left="105"/>
              <w:rPr>
                <w:b/>
                <w:sz w:val="20"/>
              </w:rPr>
            </w:pPr>
            <w:r>
              <w:rPr>
                <w:sz w:val="20"/>
              </w:rPr>
              <w:t xml:space="preserve">The movement of cattle to and from the feedlot is along defined roads </w:t>
            </w:r>
          </w:p>
        </w:tc>
        <w:tc>
          <w:tcPr>
            <w:tcW w:w="2550" w:type="dxa"/>
          </w:tcPr>
          <w:p w14:paraId="202935C9" w14:textId="77777777" w:rsidR="00F36475" w:rsidRDefault="00F36475" w:rsidP="00F36475">
            <w:pPr>
              <w:pStyle w:val="TableParagraph"/>
              <w:spacing w:before="61"/>
              <w:ind w:left="105"/>
              <w:rPr>
                <w:b/>
                <w:sz w:val="20"/>
              </w:rPr>
            </w:pPr>
          </w:p>
        </w:tc>
        <w:tc>
          <w:tcPr>
            <w:tcW w:w="4117" w:type="dxa"/>
          </w:tcPr>
          <w:p w14:paraId="6801185D" w14:textId="77777777" w:rsidR="00F36475" w:rsidRDefault="00F36475" w:rsidP="00F36475">
            <w:pPr>
              <w:pStyle w:val="TableParagraph"/>
              <w:spacing w:before="61"/>
              <w:ind w:left="105"/>
              <w:rPr>
                <w:b/>
                <w:sz w:val="20"/>
              </w:rPr>
            </w:pPr>
            <w:r>
              <w:rPr>
                <w:sz w:val="20"/>
              </w:rPr>
              <w:t>An AO may recommend revocation of approval if they believe on reasonable grounds that a person acting with the authority of the feedlot management has moved stock contrary to legislation or contravened any conditions of this approval.</w:t>
            </w:r>
          </w:p>
        </w:tc>
        <w:tc>
          <w:tcPr>
            <w:tcW w:w="870" w:type="dxa"/>
          </w:tcPr>
          <w:p w14:paraId="0D109868" w14:textId="77777777" w:rsidR="00F36475" w:rsidRDefault="00F36475" w:rsidP="00F36475">
            <w:pPr>
              <w:pStyle w:val="TableParagraph"/>
              <w:spacing w:before="61"/>
              <w:ind w:left="159" w:right="149"/>
              <w:jc w:val="center"/>
              <w:rPr>
                <w:b/>
                <w:sz w:val="20"/>
              </w:rPr>
            </w:pPr>
            <w:r>
              <w:rPr>
                <w:rFonts w:ascii="Times New Roman"/>
                <w:noProof/>
                <w:sz w:val="20"/>
                <w:lang w:val="en-AU" w:eastAsia="en-AU"/>
              </w:rPr>
              <w:drawing>
                <wp:anchor distT="0" distB="0" distL="114300" distR="114300" simplePos="0" relativeHeight="251668480" behindDoc="0" locked="0" layoutInCell="1" allowOverlap="1" wp14:anchorId="34CBB58D" wp14:editId="7F0CAD5E">
                  <wp:simplePos x="0" y="0"/>
                  <wp:positionH relativeFrom="column">
                    <wp:posOffset>140335</wp:posOffset>
                  </wp:positionH>
                  <wp:positionV relativeFrom="paragraph">
                    <wp:posOffset>258445</wp:posOffset>
                  </wp:positionV>
                  <wp:extent cx="228600" cy="228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rFonts w:ascii="Times New Roman"/>
                <w:noProof/>
                <w:sz w:val="20"/>
                <w:lang w:val="en-AU" w:eastAsia="en-AU"/>
              </w:rPr>
              <w:drawing>
                <wp:anchor distT="0" distB="0" distL="114300" distR="114300" simplePos="0" relativeHeight="251663360" behindDoc="0" locked="0" layoutInCell="1" allowOverlap="1" wp14:anchorId="61E8A9C3" wp14:editId="2463E204">
                  <wp:simplePos x="0" y="0"/>
                  <wp:positionH relativeFrom="column">
                    <wp:posOffset>140335</wp:posOffset>
                  </wp:positionH>
                  <wp:positionV relativeFrom="paragraph">
                    <wp:posOffset>-484505</wp:posOffset>
                  </wp:positionV>
                  <wp:extent cx="228600" cy="22860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tc>
      </w:tr>
      <w:tr w:rsidR="00F36475" w14:paraId="71BC2C96" w14:textId="77777777" w:rsidTr="00F36475">
        <w:trPr>
          <w:trHeight w:val="780"/>
        </w:trPr>
        <w:tc>
          <w:tcPr>
            <w:tcW w:w="705" w:type="dxa"/>
            <w:shd w:val="clear" w:color="auto" w:fill="E1EED9"/>
          </w:tcPr>
          <w:p w14:paraId="117B3243" w14:textId="77777777" w:rsidR="00F36475" w:rsidRDefault="00F36475" w:rsidP="00F36475">
            <w:pPr>
              <w:pStyle w:val="TableParagraph"/>
              <w:spacing w:before="61"/>
              <w:ind w:left="100"/>
              <w:rPr>
                <w:b/>
                <w:sz w:val="20"/>
              </w:rPr>
            </w:pPr>
            <w:r>
              <w:rPr>
                <w:b/>
                <w:sz w:val="20"/>
              </w:rPr>
              <w:lastRenderedPageBreak/>
              <w:t>1.3</w:t>
            </w:r>
          </w:p>
        </w:tc>
        <w:tc>
          <w:tcPr>
            <w:tcW w:w="6222" w:type="dxa"/>
            <w:shd w:val="clear" w:color="auto" w:fill="E1EED9"/>
          </w:tcPr>
          <w:p w14:paraId="3E44015E" w14:textId="77777777" w:rsidR="00F36475" w:rsidRDefault="00F36475" w:rsidP="00F36475">
            <w:pPr>
              <w:pStyle w:val="TableParagraph"/>
              <w:spacing w:before="61"/>
              <w:ind w:left="105"/>
              <w:rPr>
                <w:b/>
                <w:sz w:val="20"/>
              </w:rPr>
            </w:pPr>
            <w:r>
              <w:rPr>
                <w:b/>
                <w:sz w:val="20"/>
              </w:rPr>
              <w:t xml:space="preserve">Livestock Movements into an approved (Cattle tick) feedlot in NSW </w:t>
            </w:r>
          </w:p>
        </w:tc>
        <w:tc>
          <w:tcPr>
            <w:tcW w:w="2550" w:type="dxa"/>
            <w:shd w:val="clear" w:color="auto" w:fill="E1EED9"/>
          </w:tcPr>
          <w:p w14:paraId="51F5427F" w14:textId="77777777" w:rsidR="00F36475" w:rsidRDefault="00F36475" w:rsidP="00F36475">
            <w:pPr>
              <w:pStyle w:val="TableParagraph"/>
              <w:spacing w:before="61"/>
              <w:ind w:left="105"/>
              <w:rPr>
                <w:b/>
                <w:sz w:val="20"/>
              </w:rPr>
            </w:pPr>
            <w:r>
              <w:rPr>
                <w:b/>
                <w:sz w:val="20"/>
              </w:rPr>
              <w:t>Reference Documents</w:t>
            </w:r>
          </w:p>
        </w:tc>
        <w:tc>
          <w:tcPr>
            <w:tcW w:w="4117" w:type="dxa"/>
            <w:shd w:val="clear" w:color="auto" w:fill="E1EED9"/>
          </w:tcPr>
          <w:p w14:paraId="4904E9B0" w14:textId="77777777" w:rsidR="00F36475" w:rsidRDefault="00F36475" w:rsidP="00F36475">
            <w:pPr>
              <w:pStyle w:val="TableParagraph"/>
              <w:spacing w:before="61"/>
              <w:ind w:left="105"/>
              <w:rPr>
                <w:b/>
                <w:sz w:val="20"/>
              </w:rPr>
            </w:pPr>
            <w:r>
              <w:rPr>
                <w:b/>
                <w:sz w:val="20"/>
              </w:rPr>
              <w:t>Procedures</w:t>
            </w:r>
          </w:p>
        </w:tc>
        <w:tc>
          <w:tcPr>
            <w:tcW w:w="870" w:type="dxa"/>
            <w:shd w:val="clear" w:color="auto" w:fill="E1EED9"/>
          </w:tcPr>
          <w:p w14:paraId="5C85DFD3" w14:textId="77777777" w:rsidR="00F36475" w:rsidRDefault="00F36475" w:rsidP="00F36475">
            <w:pPr>
              <w:pStyle w:val="TableParagraph"/>
              <w:spacing w:before="61"/>
              <w:ind w:left="139"/>
              <w:rPr>
                <w:b/>
                <w:sz w:val="20"/>
              </w:rPr>
            </w:pPr>
            <w:r>
              <w:rPr>
                <w:b/>
                <w:sz w:val="20"/>
              </w:rPr>
              <w:t>YES</w:t>
            </w:r>
          </w:p>
          <w:p w14:paraId="16E88828" w14:textId="77777777" w:rsidR="00F36475" w:rsidRDefault="00F36475" w:rsidP="00F36475">
            <w:pPr>
              <w:pStyle w:val="TableParagraph"/>
              <w:spacing w:before="61"/>
              <w:ind w:left="159" w:right="149"/>
              <w:jc w:val="center"/>
              <w:rPr>
                <w:b/>
                <w:sz w:val="20"/>
              </w:rPr>
            </w:pPr>
          </w:p>
        </w:tc>
      </w:tr>
      <w:tr w:rsidR="00F36475" w14:paraId="5560F850" w14:textId="77777777" w:rsidTr="00F36475">
        <w:trPr>
          <w:trHeight w:val="560"/>
        </w:trPr>
        <w:tc>
          <w:tcPr>
            <w:tcW w:w="705" w:type="dxa"/>
          </w:tcPr>
          <w:p w14:paraId="5B077053" w14:textId="77777777" w:rsidR="00F36475" w:rsidRDefault="00F36475" w:rsidP="00F36475">
            <w:pPr>
              <w:pStyle w:val="TableParagraph"/>
              <w:spacing w:before="161"/>
              <w:ind w:left="100"/>
              <w:rPr>
                <w:sz w:val="20"/>
              </w:rPr>
            </w:pPr>
            <w:r>
              <w:rPr>
                <w:sz w:val="20"/>
              </w:rPr>
              <w:t>1.3.1</w:t>
            </w:r>
          </w:p>
        </w:tc>
        <w:tc>
          <w:tcPr>
            <w:tcW w:w="6222" w:type="dxa"/>
          </w:tcPr>
          <w:p w14:paraId="476D077A" w14:textId="77777777" w:rsidR="00F36475" w:rsidRDefault="00F36475" w:rsidP="00F36475">
            <w:pPr>
              <w:pStyle w:val="TableParagraph"/>
              <w:spacing w:before="36"/>
              <w:ind w:left="113"/>
              <w:rPr>
                <w:sz w:val="20"/>
              </w:rPr>
            </w:pPr>
            <w:r>
              <w:rPr>
                <w:sz w:val="20"/>
              </w:rPr>
              <w:t>Detailed records are kept of all stock movements into and out of the feedlot</w:t>
            </w:r>
          </w:p>
        </w:tc>
        <w:tc>
          <w:tcPr>
            <w:tcW w:w="2550" w:type="dxa"/>
          </w:tcPr>
          <w:p w14:paraId="3CC4BFAB" w14:textId="239AFD25" w:rsidR="00F36475" w:rsidRPr="00137CBD" w:rsidRDefault="00350773" w:rsidP="00F36475">
            <w:pPr>
              <w:pStyle w:val="TableParagraph"/>
              <w:spacing w:before="10" w:line="260" w:lineRule="atLeast"/>
              <w:ind w:left="150" w:hanging="45"/>
              <w:rPr>
                <w:sz w:val="20"/>
                <w:szCs w:val="20"/>
              </w:rPr>
            </w:pPr>
            <w:hyperlink r:id="rId17" w:history="1">
              <w:r w:rsidR="006E07A4">
                <w:rPr>
                  <w:rFonts w:eastAsiaTheme="minorHAnsi"/>
                  <w:color w:val="0000FF"/>
                  <w:sz w:val="20"/>
                  <w:szCs w:val="20"/>
                  <w:u w:val="single"/>
                  <w:lang w:val="en-AU"/>
                </w:rPr>
                <w:t>Transported Stock Statement - frequently asked questions</w:t>
              </w:r>
            </w:hyperlink>
          </w:p>
        </w:tc>
        <w:tc>
          <w:tcPr>
            <w:tcW w:w="4117" w:type="dxa"/>
          </w:tcPr>
          <w:p w14:paraId="62F9CF9F" w14:textId="77777777" w:rsidR="00F36475" w:rsidRDefault="00F36475" w:rsidP="00F36475">
            <w:pPr>
              <w:pStyle w:val="TableParagraph"/>
              <w:spacing w:before="36"/>
              <w:ind w:left="105"/>
              <w:rPr>
                <w:sz w:val="20"/>
              </w:rPr>
            </w:pPr>
            <w:proofErr w:type="spellStart"/>
            <w:r>
              <w:rPr>
                <w:sz w:val="20"/>
              </w:rPr>
              <w:t>Authorised</w:t>
            </w:r>
            <w:proofErr w:type="spellEnd"/>
            <w:r>
              <w:rPr>
                <w:sz w:val="20"/>
              </w:rPr>
              <w:t xml:space="preserve"> Officers under the Biosecurity Act 2015 are permitted to inspect the feedlot, any stock on it and all relevant records at all reasonable times as part of the audit.</w:t>
            </w:r>
          </w:p>
        </w:tc>
        <w:tc>
          <w:tcPr>
            <w:tcW w:w="870" w:type="dxa"/>
          </w:tcPr>
          <w:p w14:paraId="249EF210" w14:textId="77777777" w:rsidR="00F36475" w:rsidRDefault="00F36475" w:rsidP="00F36475">
            <w:pPr>
              <w:pStyle w:val="TableParagraph"/>
              <w:spacing w:before="7"/>
              <w:rPr>
                <w:rFonts w:ascii="Times New Roman"/>
                <w:sz w:val="9"/>
              </w:rPr>
            </w:pPr>
          </w:p>
          <w:p w14:paraId="00B9077D" w14:textId="77777777" w:rsidR="00F36475" w:rsidRDefault="00F36475" w:rsidP="00F36475">
            <w:pPr>
              <w:pStyle w:val="TableParagraph"/>
              <w:ind w:left="187"/>
              <w:rPr>
                <w:rFonts w:ascii="Times New Roman"/>
                <w:sz w:val="20"/>
              </w:rPr>
            </w:pPr>
          </w:p>
        </w:tc>
      </w:tr>
      <w:tr w:rsidR="00F36475" w14:paraId="383413C3" w14:textId="77777777" w:rsidTr="00F36475">
        <w:trPr>
          <w:trHeight w:val="1020"/>
        </w:trPr>
        <w:tc>
          <w:tcPr>
            <w:tcW w:w="705" w:type="dxa"/>
          </w:tcPr>
          <w:p w14:paraId="0422EDDC" w14:textId="77777777" w:rsidR="00F36475" w:rsidRDefault="00F36475" w:rsidP="00F36475">
            <w:pPr>
              <w:pStyle w:val="TableParagraph"/>
              <w:rPr>
                <w:rFonts w:ascii="Times New Roman"/>
                <w:sz w:val="34"/>
              </w:rPr>
            </w:pPr>
          </w:p>
          <w:p w14:paraId="4B0BB2DD" w14:textId="77777777" w:rsidR="00F36475" w:rsidRDefault="00F36475" w:rsidP="00F36475">
            <w:pPr>
              <w:pStyle w:val="TableParagraph"/>
              <w:rPr>
                <w:rFonts w:ascii="Times New Roman"/>
                <w:sz w:val="34"/>
              </w:rPr>
            </w:pPr>
            <w:r>
              <w:rPr>
                <w:sz w:val="20"/>
              </w:rPr>
              <w:t>1.3.2</w:t>
            </w:r>
          </w:p>
        </w:tc>
        <w:tc>
          <w:tcPr>
            <w:tcW w:w="6222" w:type="dxa"/>
          </w:tcPr>
          <w:p w14:paraId="1AD9ACFE" w14:textId="5FAF1195" w:rsidR="00F36475" w:rsidRDefault="00F36475" w:rsidP="00F36475">
            <w:pPr>
              <w:pStyle w:val="TableParagraph"/>
              <w:spacing w:before="146"/>
              <w:ind w:left="113" w:right="273"/>
              <w:rPr>
                <w:sz w:val="20"/>
              </w:rPr>
            </w:pPr>
            <w:r>
              <w:rPr>
                <w:sz w:val="20"/>
              </w:rPr>
              <w:t>Any stock entering the feedlot from a cattle tick infested zone or from an infested property in any other cattle tick zones must have received prior to entry</w:t>
            </w:r>
            <w:r w:rsidR="00E75529">
              <w:rPr>
                <w:sz w:val="20"/>
              </w:rPr>
              <w:t xml:space="preserve"> a biosecurity certificate issued by an Authorized Officer (AO) certifying that the cattle </w:t>
            </w:r>
            <w:proofErr w:type="gramStart"/>
            <w:r w:rsidR="00E75529">
              <w:rPr>
                <w:sz w:val="20"/>
              </w:rPr>
              <w:t xml:space="preserve">underwent </w:t>
            </w:r>
            <w:r>
              <w:rPr>
                <w:sz w:val="20"/>
              </w:rPr>
              <w:t>:</w:t>
            </w:r>
            <w:proofErr w:type="gramEnd"/>
          </w:p>
          <w:p w14:paraId="2BCE448C" w14:textId="77777777" w:rsidR="00F36475" w:rsidRPr="009B5058" w:rsidRDefault="00F36475" w:rsidP="00F36475">
            <w:pPr>
              <w:pStyle w:val="TableParagraph"/>
              <w:numPr>
                <w:ilvl w:val="0"/>
                <w:numId w:val="30"/>
              </w:numPr>
              <w:spacing w:before="146"/>
              <w:ind w:right="273"/>
              <w:rPr>
                <w:sz w:val="20"/>
              </w:rPr>
            </w:pPr>
            <w:r w:rsidRPr="009B5058">
              <w:rPr>
                <w:sz w:val="20"/>
              </w:rPr>
              <w:t xml:space="preserve"> a clean visual inspection followed by supervised plunge dipping </w:t>
            </w:r>
          </w:p>
          <w:p w14:paraId="23287226" w14:textId="77777777" w:rsidR="00F36475" w:rsidRDefault="00F36475" w:rsidP="00F36475">
            <w:pPr>
              <w:pStyle w:val="TableParagraph"/>
              <w:numPr>
                <w:ilvl w:val="0"/>
                <w:numId w:val="30"/>
              </w:numPr>
              <w:spacing w:before="146"/>
              <w:ind w:right="273"/>
              <w:rPr>
                <w:sz w:val="20"/>
              </w:rPr>
            </w:pPr>
            <w:r>
              <w:rPr>
                <w:sz w:val="20"/>
              </w:rPr>
              <w:t>OR</w:t>
            </w:r>
          </w:p>
          <w:p w14:paraId="61AFD3A0" w14:textId="77777777" w:rsidR="00F36475" w:rsidRDefault="00F36475" w:rsidP="00F36475">
            <w:pPr>
              <w:pStyle w:val="TableParagraph"/>
              <w:numPr>
                <w:ilvl w:val="0"/>
                <w:numId w:val="30"/>
              </w:numPr>
              <w:spacing w:before="146"/>
              <w:ind w:right="273"/>
              <w:rPr>
                <w:sz w:val="20"/>
              </w:rPr>
            </w:pPr>
            <w:r>
              <w:rPr>
                <w:sz w:val="20"/>
              </w:rPr>
              <w:t xml:space="preserve"> a clean manual examination </w:t>
            </w:r>
          </w:p>
          <w:p w14:paraId="31568754" w14:textId="37B76D6E" w:rsidR="00F36475" w:rsidRPr="00090743" w:rsidRDefault="00F36475" w:rsidP="00432E09">
            <w:pPr>
              <w:pStyle w:val="TableParagraph"/>
              <w:spacing w:before="146"/>
              <w:ind w:right="273"/>
              <w:rPr>
                <w:sz w:val="20"/>
              </w:rPr>
            </w:pPr>
          </w:p>
        </w:tc>
        <w:tc>
          <w:tcPr>
            <w:tcW w:w="2550" w:type="dxa"/>
          </w:tcPr>
          <w:p w14:paraId="5F927210" w14:textId="77777777" w:rsidR="00F36475" w:rsidRDefault="00F36475" w:rsidP="00F36475">
            <w:pPr>
              <w:pStyle w:val="TableParagraph"/>
              <w:spacing w:before="1"/>
              <w:ind w:left="113"/>
              <w:rPr>
                <w:rFonts w:ascii="Times New Roman"/>
                <w:sz w:val="23"/>
              </w:rPr>
            </w:pPr>
          </w:p>
          <w:p w14:paraId="1421FD88" w14:textId="1073F261" w:rsidR="00FD57A2" w:rsidRPr="00FD57A2" w:rsidRDefault="00350773" w:rsidP="00FD57A2">
            <w:pPr>
              <w:pStyle w:val="TableParagraph"/>
              <w:spacing w:before="1"/>
              <w:ind w:left="113" w:right="57"/>
              <w:rPr>
                <w:rFonts w:eastAsiaTheme="minorHAnsi"/>
                <w:sz w:val="20"/>
                <w:szCs w:val="20"/>
                <w:lang w:val="en-AU"/>
              </w:rPr>
            </w:pPr>
            <w:hyperlink r:id="rId18" w:history="1">
              <w:r w:rsidR="00FD57A2" w:rsidRPr="00FD57A2">
                <w:rPr>
                  <w:rFonts w:eastAsiaTheme="minorHAnsi"/>
                  <w:color w:val="0000FF"/>
                  <w:sz w:val="20"/>
                  <w:szCs w:val="20"/>
                  <w:u w:val="single"/>
                  <w:lang w:val="en-AU"/>
                </w:rPr>
                <w:t>Treatment records</w:t>
              </w:r>
            </w:hyperlink>
          </w:p>
          <w:p w14:paraId="1CE9AC5D" w14:textId="77777777" w:rsidR="00FD57A2" w:rsidRDefault="00FD57A2" w:rsidP="00CC0886">
            <w:pPr>
              <w:pStyle w:val="TableParagraph"/>
              <w:spacing w:before="1"/>
              <w:ind w:right="57"/>
              <w:rPr>
                <w:rFonts w:eastAsiaTheme="minorHAnsi"/>
                <w:sz w:val="20"/>
                <w:szCs w:val="20"/>
                <w:lang w:val="en-AU"/>
              </w:rPr>
            </w:pPr>
          </w:p>
          <w:p w14:paraId="00A64733" w14:textId="0CB9ABC6" w:rsidR="00CC0886" w:rsidRDefault="00CC0886" w:rsidP="00FD57A2">
            <w:pPr>
              <w:pStyle w:val="TableParagraph"/>
              <w:spacing w:before="1"/>
              <w:ind w:left="113" w:right="57"/>
              <w:rPr>
                <w:rFonts w:eastAsiaTheme="minorHAnsi"/>
                <w:sz w:val="20"/>
                <w:szCs w:val="20"/>
                <w:lang w:val="en-AU"/>
              </w:rPr>
            </w:pPr>
            <w:r w:rsidRPr="00CC0886">
              <w:rPr>
                <w:rFonts w:eastAsiaTheme="minorHAnsi"/>
                <w:sz w:val="20"/>
                <w:szCs w:val="20"/>
                <w:lang w:val="en-AU"/>
              </w:rPr>
              <w:t xml:space="preserve">A biosecurity certificate </w:t>
            </w:r>
            <w:proofErr w:type="gramStart"/>
            <w:r w:rsidR="00A10AF8">
              <w:rPr>
                <w:rFonts w:eastAsiaTheme="minorHAnsi"/>
                <w:sz w:val="20"/>
                <w:szCs w:val="20"/>
                <w:lang w:val="en-AU"/>
              </w:rPr>
              <w:t xml:space="preserve">is </w:t>
            </w:r>
            <w:r w:rsidRPr="00CC0886">
              <w:rPr>
                <w:rFonts w:eastAsiaTheme="minorHAnsi"/>
                <w:sz w:val="20"/>
                <w:szCs w:val="20"/>
                <w:lang w:val="en-AU"/>
              </w:rPr>
              <w:t xml:space="preserve"> given</w:t>
            </w:r>
            <w:proofErr w:type="gramEnd"/>
            <w:r w:rsidRPr="00CC0886">
              <w:rPr>
                <w:rFonts w:eastAsiaTheme="minorHAnsi"/>
                <w:sz w:val="20"/>
                <w:szCs w:val="20"/>
                <w:lang w:val="en-AU"/>
              </w:rPr>
              <w:t xml:space="preserve"> by an:</w:t>
            </w:r>
          </w:p>
          <w:p w14:paraId="3ECC5F12" w14:textId="2187F0F6" w:rsidR="00CC0886" w:rsidRDefault="00CC0886" w:rsidP="00A10AF8">
            <w:pPr>
              <w:pStyle w:val="TableParagraph"/>
              <w:spacing w:before="1"/>
              <w:ind w:left="113" w:right="57"/>
              <w:rPr>
                <w:rFonts w:eastAsiaTheme="minorHAnsi"/>
                <w:sz w:val="20"/>
                <w:szCs w:val="20"/>
                <w:lang w:val="en-AU"/>
              </w:rPr>
            </w:pPr>
            <w:r w:rsidRPr="00CC0886">
              <w:rPr>
                <w:rFonts w:eastAsiaTheme="minorHAnsi"/>
                <w:sz w:val="20"/>
                <w:szCs w:val="20"/>
                <w:lang w:val="en-AU"/>
              </w:rPr>
              <w:sym w:font="Symbol" w:char="F0B7"/>
            </w:r>
            <w:r w:rsidRPr="00CC0886">
              <w:rPr>
                <w:rFonts w:eastAsiaTheme="minorHAnsi"/>
                <w:sz w:val="20"/>
                <w:szCs w:val="20"/>
                <w:lang w:val="en-AU"/>
              </w:rPr>
              <w:t xml:space="preserve"> </w:t>
            </w:r>
            <w:hyperlink r:id="rId19" w:history="1">
              <w:r>
                <w:rPr>
                  <w:rFonts w:eastAsiaTheme="minorHAnsi"/>
                  <w:color w:val="0000FF"/>
                  <w:sz w:val="20"/>
                  <w:szCs w:val="20"/>
                  <w:u w:val="single"/>
                  <w:lang w:val="en-AU"/>
                </w:rPr>
                <w:t xml:space="preserve"> accredited certifier</w:t>
              </w:r>
            </w:hyperlink>
            <w:r w:rsidRPr="00CC0886">
              <w:rPr>
                <w:rFonts w:eastAsiaTheme="minorHAnsi"/>
                <w:sz w:val="20"/>
                <w:szCs w:val="20"/>
                <w:lang w:val="en-AU"/>
              </w:rPr>
              <w:t xml:space="preserve"> under the Biosecurity Act 2014 (Qld), if it occurs in Qld, or</w:t>
            </w:r>
          </w:p>
          <w:p w14:paraId="25D77791" w14:textId="49FF757D" w:rsidR="00E75529" w:rsidRDefault="00CC0886" w:rsidP="00A10AF8">
            <w:pPr>
              <w:pStyle w:val="TableParagraph"/>
              <w:spacing w:before="1"/>
              <w:ind w:left="113" w:right="57"/>
              <w:rPr>
                <w:sz w:val="20"/>
              </w:rPr>
            </w:pPr>
            <w:r w:rsidRPr="00CC0886">
              <w:rPr>
                <w:rFonts w:eastAsiaTheme="minorHAnsi"/>
                <w:sz w:val="20"/>
                <w:szCs w:val="20"/>
                <w:lang w:val="en-AU"/>
              </w:rPr>
              <w:sym w:font="Symbol" w:char="F0B7"/>
            </w:r>
            <w:r w:rsidRPr="00CC0886">
              <w:rPr>
                <w:rFonts w:eastAsiaTheme="minorHAnsi"/>
                <w:sz w:val="20"/>
                <w:szCs w:val="20"/>
                <w:lang w:val="en-AU"/>
              </w:rPr>
              <w:t xml:space="preserve"> </w:t>
            </w:r>
            <w:r w:rsidR="00A10AF8">
              <w:rPr>
                <w:rFonts w:eastAsiaTheme="minorHAnsi"/>
                <w:sz w:val="20"/>
                <w:szCs w:val="20"/>
                <w:lang w:val="en-AU"/>
              </w:rPr>
              <w:t xml:space="preserve">an </w:t>
            </w:r>
            <w:r w:rsidRPr="00CC0886">
              <w:rPr>
                <w:rFonts w:eastAsiaTheme="minorHAnsi"/>
                <w:sz w:val="20"/>
                <w:szCs w:val="20"/>
                <w:lang w:val="en-AU"/>
              </w:rPr>
              <w:t xml:space="preserve">authorised officer under </w:t>
            </w:r>
            <w:r w:rsidR="00A10AF8">
              <w:rPr>
                <w:rFonts w:eastAsiaTheme="minorHAnsi"/>
                <w:sz w:val="20"/>
                <w:szCs w:val="20"/>
                <w:lang w:val="en-AU"/>
              </w:rPr>
              <w:t>WA or NT jurisdictional legislation.</w:t>
            </w:r>
            <w:r w:rsidRPr="00CC0886">
              <w:rPr>
                <w:rFonts w:eastAsiaTheme="minorHAnsi"/>
                <w:sz w:val="20"/>
                <w:szCs w:val="20"/>
                <w:lang w:val="en-AU"/>
              </w:rPr>
              <w:t xml:space="preserve"> </w:t>
            </w:r>
            <w:r w:rsidR="00E75529">
              <w:rPr>
                <w:sz w:val="20"/>
              </w:rPr>
              <w:t xml:space="preserve"> </w:t>
            </w:r>
          </w:p>
          <w:p w14:paraId="102EB3C5" w14:textId="4EA1877C" w:rsidR="00F36475" w:rsidRPr="00FD57A2" w:rsidRDefault="00E75529" w:rsidP="00FD57A2">
            <w:pPr>
              <w:pStyle w:val="TableParagraph"/>
              <w:spacing w:before="1"/>
              <w:ind w:left="113" w:right="57"/>
              <w:rPr>
                <w:sz w:val="20"/>
                <w:szCs w:val="20"/>
              </w:rPr>
            </w:pPr>
            <w:proofErr w:type="gramStart"/>
            <w:r>
              <w:rPr>
                <w:sz w:val="20"/>
              </w:rPr>
              <w:t xml:space="preserve">The </w:t>
            </w:r>
            <w:r w:rsidRPr="00090743">
              <w:rPr>
                <w:sz w:val="20"/>
              </w:rPr>
              <w:t xml:space="preserve"> Biosecurity</w:t>
            </w:r>
            <w:proofErr w:type="gramEnd"/>
            <w:r w:rsidRPr="00090743">
              <w:rPr>
                <w:sz w:val="20"/>
              </w:rPr>
              <w:t xml:space="preserve"> Certificate</w:t>
            </w:r>
            <w:r>
              <w:rPr>
                <w:sz w:val="20"/>
              </w:rPr>
              <w:t xml:space="preserve"> certifying how the movement requirements were met must be available and kept for 2 years</w:t>
            </w:r>
          </w:p>
        </w:tc>
        <w:tc>
          <w:tcPr>
            <w:tcW w:w="4117" w:type="dxa"/>
          </w:tcPr>
          <w:p w14:paraId="6AB34BE1" w14:textId="79236FC2" w:rsidR="00F36475" w:rsidRPr="00A900E6" w:rsidRDefault="00F36475" w:rsidP="00F36475">
            <w:pPr>
              <w:widowControl w:val="0"/>
              <w:tabs>
                <w:tab w:val="left" w:pos="1172"/>
                <w:tab w:val="left" w:pos="1173"/>
              </w:tabs>
              <w:autoSpaceDE w:val="0"/>
              <w:autoSpaceDN w:val="0"/>
              <w:spacing w:before="0" w:after="0"/>
              <w:ind w:left="113" w:right="470"/>
              <w:rPr>
                <w:rFonts w:ascii="Calibri" w:hAnsi="Calibri"/>
                <w:sz w:val="20"/>
                <w:szCs w:val="20"/>
              </w:rPr>
            </w:pPr>
            <w:r w:rsidRPr="00A900E6">
              <w:rPr>
                <w:rFonts w:ascii="Calibri" w:hAnsi="Calibri"/>
                <w:sz w:val="20"/>
                <w:szCs w:val="20"/>
              </w:rPr>
              <w:t xml:space="preserve">The cattle tick carrier must enter NSW within 96 hours if treated with an </w:t>
            </w:r>
            <w:r w:rsidR="00432E09" w:rsidRPr="00A900E6">
              <w:rPr>
                <w:rFonts w:ascii="Calibri" w:hAnsi="Calibri"/>
                <w:sz w:val="20"/>
                <w:szCs w:val="20"/>
              </w:rPr>
              <w:t>acaricide</w:t>
            </w:r>
            <w:r w:rsidRPr="00A900E6">
              <w:rPr>
                <w:rFonts w:ascii="Calibri" w:hAnsi="Calibri"/>
                <w:sz w:val="20"/>
                <w:szCs w:val="20"/>
              </w:rPr>
              <w:t>, OR if treated with Endectocide the cattle tick carrier must enter NSW in the period starting 4 days and ending 7 days after the risk minimisation requirements for this treatment were</w:t>
            </w:r>
            <w:r w:rsidRPr="00A900E6">
              <w:rPr>
                <w:rFonts w:ascii="Calibri" w:hAnsi="Calibri"/>
                <w:spacing w:val="1"/>
                <w:sz w:val="20"/>
                <w:szCs w:val="20"/>
              </w:rPr>
              <w:t xml:space="preserve"> </w:t>
            </w:r>
            <w:r w:rsidRPr="00A900E6">
              <w:rPr>
                <w:rFonts w:ascii="Calibri" w:hAnsi="Calibri"/>
                <w:sz w:val="20"/>
                <w:szCs w:val="20"/>
              </w:rPr>
              <w:t>met.</w:t>
            </w:r>
          </w:p>
          <w:p w14:paraId="7B72E33B" w14:textId="77777777" w:rsidR="00F36475" w:rsidRPr="00A900E6" w:rsidRDefault="00F36475" w:rsidP="00F36475">
            <w:pPr>
              <w:spacing w:after="0" w:line="260" w:lineRule="atLeast"/>
              <w:ind w:left="113"/>
              <w:rPr>
                <w:rFonts w:ascii="Calibri" w:hAnsi="Calibri" w:cs="Arial"/>
                <w:sz w:val="20"/>
                <w:szCs w:val="20"/>
              </w:rPr>
            </w:pPr>
            <w:r w:rsidRPr="00A900E6">
              <w:rPr>
                <w:rFonts w:ascii="Calibri" w:hAnsi="Calibri" w:cs="Arial"/>
                <w:sz w:val="20"/>
                <w:szCs w:val="20"/>
              </w:rPr>
              <w:t>NB. Stock originating from unrestricted properties in a free zone do not require any treatment or examination to enter an approved (cattle tick) feedlot in NSW.</w:t>
            </w:r>
          </w:p>
          <w:p w14:paraId="01844F3D" w14:textId="77777777" w:rsidR="00F36475" w:rsidRPr="00A900E6" w:rsidRDefault="00F36475" w:rsidP="00F36475">
            <w:pPr>
              <w:widowControl w:val="0"/>
              <w:tabs>
                <w:tab w:val="left" w:pos="1172"/>
                <w:tab w:val="left" w:pos="1173"/>
              </w:tabs>
              <w:autoSpaceDE w:val="0"/>
              <w:autoSpaceDN w:val="0"/>
              <w:spacing w:before="0" w:after="0"/>
              <w:ind w:right="470"/>
              <w:rPr>
                <w:rFonts w:ascii="Calibri" w:hAnsi="Calibri"/>
                <w:sz w:val="20"/>
                <w:szCs w:val="20"/>
              </w:rPr>
            </w:pPr>
          </w:p>
        </w:tc>
        <w:tc>
          <w:tcPr>
            <w:tcW w:w="870" w:type="dxa"/>
          </w:tcPr>
          <w:p w14:paraId="4BE093ED" w14:textId="77777777" w:rsidR="00F36475" w:rsidRDefault="00F36475" w:rsidP="00F36475">
            <w:pPr>
              <w:pStyle w:val="TableParagraph"/>
              <w:spacing w:before="6"/>
              <w:rPr>
                <w:rFonts w:ascii="Times New Roman"/>
                <w:sz w:val="27"/>
              </w:rPr>
            </w:pPr>
            <w:r>
              <w:rPr>
                <w:rFonts w:ascii="Times New Roman"/>
                <w:noProof/>
                <w:sz w:val="20"/>
                <w:lang w:val="en-AU" w:eastAsia="en-AU"/>
              </w:rPr>
              <w:drawing>
                <wp:anchor distT="0" distB="0" distL="114300" distR="114300" simplePos="0" relativeHeight="251669504" behindDoc="0" locked="0" layoutInCell="1" allowOverlap="1" wp14:anchorId="7810ABE4" wp14:editId="26E27877">
                  <wp:simplePos x="0" y="0"/>
                  <wp:positionH relativeFrom="column">
                    <wp:posOffset>131445</wp:posOffset>
                  </wp:positionH>
                  <wp:positionV relativeFrom="paragraph">
                    <wp:posOffset>-467360</wp:posOffset>
                  </wp:positionV>
                  <wp:extent cx="228600" cy="2286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p w14:paraId="0197D0DB" w14:textId="77777777" w:rsidR="00F36475" w:rsidRDefault="00F36475" w:rsidP="00F36475">
            <w:pPr>
              <w:pStyle w:val="TableParagraph"/>
              <w:ind w:left="186"/>
              <w:rPr>
                <w:rFonts w:ascii="Times New Roman"/>
                <w:sz w:val="20"/>
              </w:rPr>
            </w:pPr>
            <w:r>
              <w:rPr>
                <w:rFonts w:ascii="Times New Roman"/>
                <w:noProof/>
                <w:sz w:val="20"/>
                <w:lang w:val="en-AU" w:eastAsia="en-AU"/>
              </w:rPr>
              <w:drawing>
                <wp:anchor distT="0" distB="0" distL="114300" distR="114300" simplePos="0" relativeHeight="251670528" behindDoc="0" locked="0" layoutInCell="1" allowOverlap="1" wp14:anchorId="22C87396" wp14:editId="59342BDF">
                  <wp:simplePos x="0" y="0"/>
                  <wp:positionH relativeFrom="column">
                    <wp:posOffset>130810</wp:posOffset>
                  </wp:positionH>
                  <wp:positionV relativeFrom="paragraph">
                    <wp:posOffset>-1270</wp:posOffset>
                  </wp:positionV>
                  <wp:extent cx="228600" cy="2286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tc>
      </w:tr>
      <w:tr w:rsidR="00F36475" w14:paraId="474CEEE1" w14:textId="77777777" w:rsidTr="00F36475">
        <w:trPr>
          <w:trHeight w:val="560"/>
        </w:trPr>
        <w:tc>
          <w:tcPr>
            <w:tcW w:w="705" w:type="dxa"/>
            <w:shd w:val="clear" w:color="auto" w:fill="DFEFE1" w:themeFill="accent3" w:themeFillTint="66"/>
          </w:tcPr>
          <w:p w14:paraId="40E6EE24" w14:textId="77777777" w:rsidR="00F36475" w:rsidRDefault="00F36475" w:rsidP="00F36475">
            <w:pPr>
              <w:pStyle w:val="TableParagraph"/>
              <w:spacing w:before="156"/>
              <w:ind w:left="100"/>
              <w:rPr>
                <w:b/>
                <w:sz w:val="20"/>
              </w:rPr>
            </w:pPr>
            <w:r>
              <w:rPr>
                <w:b/>
                <w:sz w:val="20"/>
              </w:rPr>
              <w:t>1.4</w:t>
            </w:r>
          </w:p>
        </w:tc>
        <w:tc>
          <w:tcPr>
            <w:tcW w:w="6222" w:type="dxa"/>
            <w:shd w:val="clear" w:color="auto" w:fill="DFEFE1" w:themeFill="accent3" w:themeFillTint="66"/>
          </w:tcPr>
          <w:p w14:paraId="764AB943" w14:textId="77777777" w:rsidR="00F36475" w:rsidRDefault="00F36475" w:rsidP="00F36475">
            <w:pPr>
              <w:pStyle w:val="TableParagraph"/>
              <w:spacing w:before="31"/>
              <w:ind w:left="105" w:right="420"/>
              <w:rPr>
                <w:b/>
                <w:sz w:val="20"/>
              </w:rPr>
            </w:pPr>
            <w:r>
              <w:rPr>
                <w:b/>
                <w:sz w:val="20"/>
              </w:rPr>
              <w:t xml:space="preserve">Livestock Movements from an approved (Cattle tick) feedlot in NSW </w:t>
            </w:r>
          </w:p>
        </w:tc>
        <w:tc>
          <w:tcPr>
            <w:tcW w:w="2550" w:type="dxa"/>
            <w:shd w:val="clear" w:color="auto" w:fill="DFEFE1" w:themeFill="accent3" w:themeFillTint="66"/>
          </w:tcPr>
          <w:p w14:paraId="2BB2258B" w14:textId="77777777" w:rsidR="00F36475" w:rsidRDefault="00F36475" w:rsidP="00F36475">
            <w:pPr>
              <w:pStyle w:val="TableParagraph"/>
              <w:spacing w:before="156"/>
              <w:ind w:left="105"/>
              <w:rPr>
                <w:b/>
                <w:sz w:val="20"/>
              </w:rPr>
            </w:pPr>
            <w:r>
              <w:rPr>
                <w:b/>
                <w:sz w:val="20"/>
              </w:rPr>
              <w:t>Reference Documents</w:t>
            </w:r>
          </w:p>
        </w:tc>
        <w:tc>
          <w:tcPr>
            <w:tcW w:w="4117" w:type="dxa"/>
            <w:shd w:val="clear" w:color="auto" w:fill="DFEFE1" w:themeFill="accent3" w:themeFillTint="66"/>
          </w:tcPr>
          <w:p w14:paraId="6C57160B" w14:textId="77777777" w:rsidR="00F36475" w:rsidRDefault="00F36475" w:rsidP="00F36475">
            <w:pPr>
              <w:pStyle w:val="TableParagraph"/>
              <w:spacing w:before="31"/>
              <w:ind w:left="105" w:right="226"/>
              <w:rPr>
                <w:b/>
                <w:sz w:val="20"/>
              </w:rPr>
            </w:pPr>
            <w:r>
              <w:rPr>
                <w:b/>
                <w:sz w:val="20"/>
              </w:rPr>
              <w:t>Procedures</w:t>
            </w:r>
          </w:p>
        </w:tc>
        <w:tc>
          <w:tcPr>
            <w:tcW w:w="870" w:type="dxa"/>
            <w:shd w:val="clear" w:color="auto" w:fill="DFEFE1" w:themeFill="accent3" w:themeFillTint="66"/>
          </w:tcPr>
          <w:p w14:paraId="63F587F3" w14:textId="77777777" w:rsidR="00F36475" w:rsidRDefault="00F36475" w:rsidP="00F36475">
            <w:pPr>
              <w:pStyle w:val="TableParagraph"/>
              <w:ind w:left="103"/>
              <w:rPr>
                <w:b/>
                <w:sz w:val="20"/>
              </w:rPr>
            </w:pPr>
            <w:r>
              <w:rPr>
                <w:b/>
                <w:sz w:val="20"/>
              </w:rPr>
              <w:t>YES</w:t>
            </w:r>
          </w:p>
          <w:p w14:paraId="5D6D5B1A" w14:textId="77777777" w:rsidR="00F36475" w:rsidRDefault="00F36475" w:rsidP="00F36475">
            <w:pPr>
              <w:pStyle w:val="TableParagraph"/>
              <w:ind w:left="186"/>
              <w:rPr>
                <w:b/>
                <w:sz w:val="20"/>
              </w:rPr>
            </w:pPr>
          </w:p>
        </w:tc>
      </w:tr>
      <w:tr w:rsidR="00F36475" w14:paraId="6D1BC161" w14:textId="77777777" w:rsidTr="00F36475">
        <w:trPr>
          <w:trHeight w:val="1714"/>
        </w:trPr>
        <w:tc>
          <w:tcPr>
            <w:tcW w:w="705" w:type="dxa"/>
          </w:tcPr>
          <w:p w14:paraId="6D74FFEF" w14:textId="77777777" w:rsidR="00F36475" w:rsidRDefault="00F36475" w:rsidP="00F36475">
            <w:pPr>
              <w:pStyle w:val="TableParagraph"/>
              <w:spacing w:before="156"/>
              <w:ind w:left="100"/>
              <w:rPr>
                <w:sz w:val="20"/>
              </w:rPr>
            </w:pPr>
            <w:r>
              <w:rPr>
                <w:sz w:val="20"/>
              </w:rPr>
              <w:t>1.4.1</w:t>
            </w:r>
          </w:p>
        </w:tc>
        <w:tc>
          <w:tcPr>
            <w:tcW w:w="6222" w:type="dxa"/>
          </w:tcPr>
          <w:p w14:paraId="3C8B57A1" w14:textId="77777777" w:rsidR="00F36475" w:rsidRDefault="00F36475" w:rsidP="00F36475">
            <w:pPr>
              <w:pStyle w:val="TableParagraph"/>
              <w:spacing w:before="36"/>
              <w:ind w:left="105" w:right="273"/>
              <w:rPr>
                <w:sz w:val="20"/>
              </w:rPr>
            </w:pPr>
            <w:r>
              <w:rPr>
                <w:sz w:val="20"/>
              </w:rPr>
              <w:t xml:space="preserve">All stock </w:t>
            </w:r>
            <w:proofErr w:type="gramStart"/>
            <w:r>
              <w:rPr>
                <w:sz w:val="20"/>
              </w:rPr>
              <w:t>are</w:t>
            </w:r>
            <w:proofErr w:type="gramEnd"/>
            <w:r>
              <w:rPr>
                <w:sz w:val="20"/>
              </w:rPr>
              <w:t xml:space="preserve"> kept in the approved feedlot for a continuous period of at least 35 days </w:t>
            </w:r>
          </w:p>
          <w:p w14:paraId="48AD933B" w14:textId="77777777" w:rsidR="00F36475" w:rsidRDefault="00F36475" w:rsidP="00F36475">
            <w:pPr>
              <w:pStyle w:val="TableParagraph"/>
              <w:spacing w:before="36"/>
              <w:ind w:left="105" w:right="273"/>
              <w:rPr>
                <w:sz w:val="20"/>
              </w:rPr>
            </w:pPr>
            <w:r>
              <w:rPr>
                <w:sz w:val="20"/>
              </w:rPr>
              <w:t>AND</w:t>
            </w:r>
          </w:p>
          <w:p w14:paraId="45F60CCF" w14:textId="77777777" w:rsidR="00F36475" w:rsidRDefault="00F36475" w:rsidP="00F36475">
            <w:pPr>
              <w:pStyle w:val="TableParagraph"/>
              <w:spacing w:before="36"/>
              <w:ind w:left="105" w:right="273"/>
              <w:rPr>
                <w:sz w:val="20"/>
              </w:rPr>
            </w:pPr>
            <w:r>
              <w:rPr>
                <w:sz w:val="20"/>
              </w:rPr>
              <w:t xml:space="preserve">They are moved direct to an abattoir within NSW </w:t>
            </w:r>
          </w:p>
        </w:tc>
        <w:tc>
          <w:tcPr>
            <w:tcW w:w="2550" w:type="dxa"/>
          </w:tcPr>
          <w:p w14:paraId="0B563AE4" w14:textId="59AE3B34" w:rsidR="00F36475" w:rsidRPr="0085616F" w:rsidRDefault="00350773" w:rsidP="00F36475">
            <w:pPr>
              <w:pStyle w:val="TableParagraph"/>
              <w:spacing w:before="36"/>
              <w:ind w:left="105"/>
              <w:rPr>
                <w:sz w:val="20"/>
                <w:szCs w:val="20"/>
              </w:rPr>
            </w:pPr>
            <w:hyperlink r:id="rId20" w:history="1">
              <w:r w:rsidR="0085616F" w:rsidRPr="0085616F">
                <w:rPr>
                  <w:rFonts w:eastAsiaTheme="minorHAnsi"/>
                  <w:color w:val="0000FF"/>
                  <w:sz w:val="20"/>
                  <w:szCs w:val="20"/>
                  <w:u w:val="single"/>
                  <w:lang w:val="en-AU"/>
                </w:rPr>
                <w:t>Stock Receival and Inspection Form</w:t>
              </w:r>
            </w:hyperlink>
          </w:p>
        </w:tc>
        <w:tc>
          <w:tcPr>
            <w:tcW w:w="4117" w:type="dxa"/>
          </w:tcPr>
          <w:p w14:paraId="061E0091" w14:textId="0AFFE6D7" w:rsidR="00F36475" w:rsidRDefault="00F36475" w:rsidP="00FD57A2">
            <w:pPr>
              <w:pStyle w:val="TableParagraph"/>
              <w:spacing w:before="156"/>
              <w:ind w:left="105" w:right="57"/>
              <w:rPr>
                <w:sz w:val="20"/>
              </w:rPr>
            </w:pPr>
            <w:r>
              <w:rPr>
                <w:sz w:val="20"/>
              </w:rPr>
              <w:t xml:space="preserve">Stock may be moved from an approved (cattle tick) feedlot without any inspection or treatment for cattle tick if YES to both </w:t>
            </w:r>
            <w:r w:rsidR="00137CBD">
              <w:rPr>
                <w:sz w:val="20"/>
              </w:rPr>
              <w:t>criteria</w:t>
            </w:r>
            <w:r>
              <w:rPr>
                <w:sz w:val="20"/>
              </w:rPr>
              <w:t>.</w:t>
            </w:r>
          </w:p>
          <w:p w14:paraId="480875F2" w14:textId="77777777" w:rsidR="00F36475" w:rsidRDefault="00F36475" w:rsidP="00F36475">
            <w:pPr>
              <w:pStyle w:val="TableParagraph"/>
              <w:spacing w:before="156"/>
              <w:ind w:left="105"/>
              <w:rPr>
                <w:sz w:val="20"/>
              </w:rPr>
            </w:pPr>
            <w:r>
              <w:rPr>
                <w:sz w:val="20"/>
              </w:rPr>
              <w:t>NB. If abattoir is in another State then movement must comply with other States laws</w:t>
            </w:r>
          </w:p>
        </w:tc>
        <w:tc>
          <w:tcPr>
            <w:tcW w:w="870" w:type="dxa"/>
          </w:tcPr>
          <w:p w14:paraId="07A19265" w14:textId="77777777" w:rsidR="00F36475" w:rsidRDefault="00F36475" w:rsidP="00F36475">
            <w:pPr>
              <w:pStyle w:val="TableParagraph"/>
              <w:spacing w:before="3"/>
              <w:rPr>
                <w:rFonts w:ascii="Times New Roman"/>
                <w:sz w:val="9"/>
              </w:rPr>
            </w:pPr>
          </w:p>
          <w:p w14:paraId="5C79D91F" w14:textId="77777777" w:rsidR="00F36475" w:rsidRDefault="00F36475" w:rsidP="00F36475">
            <w:pPr>
              <w:pStyle w:val="TableParagraph"/>
              <w:ind w:left="103"/>
              <w:rPr>
                <w:rFonts w:ascii="Times New Roman"/>
                <w:sz w:val="20"/>
              </w:rPr>
            </w:pPr>
            <w:r>
              <w:rPr>
                <w:rFonts w:ascii="Times New Roman"/>
                <w:noProof/>
                <w:sz w:val="20"/>
                <w:lang w:val="en-AU" w:eastAsia="en-AU"/>
              </w:rPr>
              <w:drawing>
                <wp:anchor distT="0" distB="0" distL="114300" distR="114300" simplePos="0" relativeHeight="251671552" behindDoc="0" locked="0" layoutInCell="1" allowOverlap="1" wp14:anchorId="4E2F035F" wp14:editId="4183DE28">
                  <wp:simplePos x="0" y="0"/>
                  <wp:positionH relativeFrom="column">
                    <wp:posOffset>131445</wp:posOffset>
                  </wp:positionH>
                  <wp:positionV relativeFrom="paragraph">
                    <wp:posOffset>82550</wp:posOffset>
                  </wp:positionV>
                  <wp:extent cx="228600" cy="22860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p w14:paraId="498B6F73" w14:textId="095EA0E8" w:rsidR="00F36475" w:rsidRDefault="00F36475" w:rsidP="00F36475">
            <w:pPr>
              <w:pStyle w:val="TableParagraph"/>
              <w:ind w:left="127"/>
              <w:rPr>
                <w:rFonts w:ascii="Times New Roman"/>
                <w:sz w:val="20"/>
              </w:rPr>
            </w:pPr>
          </w:p>
          <w:p w14:paraId="053F6BEB" w14:textId="0E4FA65F" w:rsidR="00F36475" w:rsidRDefault="00137CBD" w:rsidP="00F36475">
            <w:pPr>
              <w:pStyle w:val="TableParagraph"/>
              <w:ind w:left="186"/>
              <w:rPr>
                <w:rFonts w:ascii="Times New Roman"/>
                <w:sz w:val="20"/>
              </w:rPr>
            </w:pPr>
            <w:r>
              <w:rPr>
                <w:rFonts w:ascii="Times New Roman"/>
                <w:noProof/>
                <w:sz w:val="20"/>
                <w:lang w:val="en-AU" w:eastAsia="en-AU"/>
              </w:rPr>
              <w:drawing>
                <wp:anchor distT="0" distB="0" distL="114300" distR="114300" simplePos="0" relativeHeight="251672576" behindDoc="1" locked="0" layoutInCell="1" allowOverlap="1" wp14:anchorId="76E946C0" wp14:editId="7AEE7DB1">
                  <wp:simplePos x="0" y="0"/>
                  <wp:positionH relativeFrom="margin">
                    <wp:align>center</wp:align>
                  </wp:positionH>
                  <wp:positionV relativeFrom="paragraph">
                    <wp:posOffset>300355</wp:posOffset>
                  </wp:positionV>
                  <wp:extent cx="228600"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tc>
      </w:tr>
      <w:tr w:rsidR="00F36475" w14:paraId="2C581EE6" w14:textId="77777777" w:rsidTr="00F36475">
        <w:trPr>
          <w:trHeight w:val="780"/>
        </w:trPr>
        <w:tc>
          <w:tcPr>
            <w:tcW w:w="705" w:type="dxa"/>
          </w:tcPr>
          <w:p w14:paraId="5CD68A1E" w14:textId="77777777" w:rsidR="00F36475" w:rsidRDefault="00F36475" w:rsidP="00F36475">
            <w:pPr>
              <w:pStyle w:val="TableParagraph"/>
              <w:spacing w:before="6"/>
              <w:rPr>
                <w:rFonts w:ascii="Times New Roman"/>
                <w:sz w:val="23"/>
              </w:rPr>
            </w:pPr>
          </w:p>
          <w:p w14:paraId="2D7D7FAF" w14:textId="77777777" w:rsidR="00F36475" w:rsidRDefault="00F36475" w:rsidP="00F36475">
            <w:pPr>
              <w:pStyle w:val="TableParagraph"/>
              <w:spacing w:before="6"/>
              <w:rPr>
                <w:rFonts w:ascii="Times New Roman"/>
                <w:sz w:val="23"/>
              </w:rPr>
            </w:pPr>
            <w:r>
              <w:rPr>
                <w:sz w:val="20"/>
              </w:rPr>
              <w:t>1.4.2</w:t>
            </w:r>
          </w:p>
        </w:tc>
        <w:tc>
          <w:tcPr>
            <w:tcW w:w="6222" w:type="dxa"/>
          </w:tcPr>
          <w:p w14:paraId="42982DCC" w14:textId="77777777" w:rsidR="00F36475" w:rsidRDefault="00F36475" w:rsidP="00F36475">
            <w:pPr>
              <w:pStyle w:val="TableParagraph"/>
              <w:spacing w:before="26"/>
              <w:ind w:left="113"/>
              <w:rPr>
                <w:sz w:val="20"/>
              </w:rPr>
            </w:pPr>
            <w:r>
              <w:rPr>
                <w:sz w:val="20"/>
              </w:rPr>
              <w:t xml:space="preserve">A permit issued by an Authorized officer is required for any other movements from the Approved (cattle tick) feedlot other than direct to an abattoir. </w:t>
            </w:r>
          </w:p>
        </w:tc>
        <w:tc>
          <w:tcPr>
            <w:tcW w:w="2550" w:type="dxa"/>
          </w:tcPr>
          <w:p w14:paraId="6321C10D" w14:textId="5C56045E" w:rsidR="00F36475" w:rsidRPr="00D31CBE" w:rsidRDefault="00350773" w:rsidP="00F36475">
            <w:pPr>
              <w:pStyle w:val="TableParagraph"/>
              <w:spacing w:before="16"/>
              <w:ind w:left="105"/>
              <w:rPr>
                <w:sz w:val="20"/>
                <w:szCs w:val="20"/>
              </w:rPr>
            </w:pPr>
            <w:hyperlink r:id="rId21" w:history="1">
              <w:r w:rsidR="00D31CBE" w:rsidRPr="00D31CBE">
                <w:rPr>
                  <w:rFonts w:eastAsiaTheme="minorHAnsi"/>
                  <w:color w:val="0000FF"/>
                  <w:sz w:val="20"/>
                  <w:szCs w:val="20"/>
                  <w:u w:val="single"/>
                  <w:lang w:val="en-AU"/>
                </w:rPr>
                <w:t>Biosecurity Permit Application</w:t>
              </w:r>
            </w:hyperlink>
          </w:p>
        </w:tc>
        <w:tc>
          <w:tcPr>
            <w:tcW w:w="4117" w:type="dxa"/>
          </w:tcPr>
          <w:p w14:paraId="20F7F6AD" w14:textId="77777777" w:rsidR="00F36475" w:rsidRDefault="00F36475" w:rsidP="00F36475">
            <w:pPr>
              <w:pStyle w:val="TableParagraph"/>
              <w:spacing w:before="151"/>
              <w:ind w:left="105" w:right="226"/>
              <w:rPr>
                <w:sz w:val="20"/>
              </w:rPr>
            </w:pPr>
            <w:r>
              <w:rPr>
                <w:sz w:val="20"/>
              </w:rPr>
              <w:t>Include movements to other parts of the same property.</w:t>
            </w:r>
          </w:p>
        </w:tc>
        <w:tc>
          <w:tcPr>
            <w:tcW w:w="870" w:type="dxa"/>
          </w:tcPr>
          <w:p w14:paraId="63BF145A" w14:textId="77777777" w:rsidR="00F36475" w:rsidRDefault="00F36475" w:rsidP="00F36475">
            <w:pPr>
              <w:pStyle w:val="TableParagraph"/>
              <w:spacing w:before="5" w:after="1"/>
              <w:rPr>
                <w:rFonts w:ascii="Times New Roman"/>
                <w:sz w:val="19"/>
              </w:rPr>
            </w:pPr>
          </w:p>
          <w:p w14:paraId="347CA1CE" w14:textId="77777777" w:rsidR="00F36475" w:rsidRDefault="00F36475" w:rsidP="00F36475">
            <w:pPr>
              <w:pStyle w:val="TableParagraph"/>
              <w:ind w:left="186"/>
              <w:rPr>
                <w:rFonts w:ascii="Times New Roman"/>
                <w:sz w:val="20"/>
              </w:rPr>
            </w:pPr>
            <w:r>
              <w:rPr>
                <w:rFonts w:ascii="Times New Roman"/>
                <w:noProof/>
                <w:sz w:val="20"/>
                <w:lang w:val="en-AU" w:eastAsia="en-AU"/>
              </w:rPr>
              <w:drawing>
                <wp:anchor distT="0" distB="0" distL="114300" distR="114300" simplePos="0" relativeHeight="251663872" behindDoc="0" locked="0" layoutInCell="1" allowOverlap="1" wp14:anchorId="4D52F302" wp14:editId="2A58F559">
                  <wp:simplePos x="0" y="0"/>
                  <wp:positionH relativeFrom="margin">
                    <wp:align>center</wp:align>
                  </wp:positionH>
                  <wp:positionV relativeFrom="paragraph">
                    <wp:posOffset>-1270</wp:posOffset>
                  </wp:positionV>
                  <wp:extent cx="228600" cy="22860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tc>
      </w:tr>
    </w:tbl>
    <w:p w14:paraId="3987F015" w14:textId="77777777" w:rsidR="008320D6" w:rsidRPr="008320D6" w:rsidRDefault="008320D6" w:rsidP="008320D6"/>
    <w:sectPr w:rsidR="008320D6" w:rsidRPr="008320D6" w:rsidSect="00F133C4">
      <w:headerReference w:type="default" r:id="rId22"/>
      <w:footerReference w:type="default" r:id="rId23"/>
      <w:pgSz w:w="16838" w:h="11906" w:orient="landscape" w:code="9"/>
      <w:pgMar w:top="1418" w:right="1418" w:bottom="1418" w:left="1418"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F5DD" w14:textId="77777777" w:rsidR="00350773" w:rsidRDefault="00350773" w:rsidP="006C32D2">
      <w:r>
        <w:separator/>
      </w:r>
    </w:p>
    <w:p w14:paraId="1DF9E233" w14:textId="77777777" w:rsidR="00350773" w:rsidRDefault="00350773" w:rsidP="006C32D2"/>
    <w:p w14:paraId="166779E0" w14:textId="77777777" w:rsidR="00350773" w:rsidRDefault="00350773" w:rsidP="006C32D2"/>
    <w:p w14:paraId="1ABB3475" w14:textId="77777777" w:rsidR="00350773" w:rsidRDefault="00350773" w:rsidP="006C32D2"/>
    <w:p w14:paraId="1AD83B2E" w14:textId="77777777" w:rsidR="00350773" w:rsidRDefault="00350773"/>
  </w:endnote>
  <w:endnote w:type="continuationSeparator" w:id="0">
    <w:p w14:paraId="1A3F1E43" w14:textId="77777777" w:rsidR="00350773" w:rsidRDefault="00350773" w:rsidP="006C32D2">
      <w:r>
        <w:continuationSeparator/>
      </w:r>
    </w:p>
    <w:p w14:paraId="0278AD1C" w14:textId="77777777" w:rsidR="00350773" w:rsidRDefault="00350773" w:rsidP="006C32D2"/>
    <w:p w14:paraId="6A95CA8F" w14:textId="77777777" w:rsidR="00350773" w:rsidRDefault="00350773" w:rsidP="006C32D2"/>
    <w:p w14:paraId="0F88C36B" w14:textId="77777777" w:rsidR="00350773" w:rsidRDefault="00350773" w:rsidP="006C32D2"/>
    <w:p w14:paraId="0CBDA6D5" w14:textId="77777777" w:rsidR="00350773" w:rsidRDefault="00350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WP Semibold">
    <w:altName w:val="Segoe UI Semibold"/>
    <w:charset w:val="00"/>
    <w:family w:val="swiss"/>
    <w:pitch w:val="variable"/>
    <w:sig w:usb0="00000001" w:usb1="10000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C86E" w14:textId="77777777" w:rsidR="009B54E4" w:rsidRDefault="009B5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CF2E" w14:textId="77DE5304" w:rsidR="00427BE9" w:rsidRPr="00427BE9" w:rsidRDefault="00350773" w:rsidP="00427BE9">
    <w:pPr>
      <w:pStyle w:val="Footer"/>
      <w:rPr>
        <w:color w:val="0074A1"/>
        <w:szCs w:val="18"/>
      </w:rPr>
    </w:pPr>
    <w:sdt>
      <w:sdtPr>
        <w:id w:val="737129985"/>
        <w:docPartObj>
          <w:docPartGallery w:val="Page Numbers (Bottom of Page)"/>
          <w:docPartUnique/>
        </w:docPartObj>
      </w:sdtPr>
      <w:sdtEndPr>
        <w:rPr>
          <w:color w:val="808080" w:themeColor="background1" w:themeShade="80"/>
          <w:spacing w:val="60"/>
        </w:rPr>
      </w:sdtEndPr>
      <w:sdtContent>
        <w:r w:rsidR="00427BE9" w:rsidRPr="000D4DF8">
          <w:rPr>
            <w:rFonts w:cs="Segoe UI"/>
            <w:b/>
            <w:color w:val="0079A1"/>
            <w:sz w:val="20"/>
            <w:szCs w:val="20"/>
          </w:rPr>
          <w:fldChar w:fldCharType="begin"/>
        </w:r>
        <w:r w:rsidR="00427BE9" w:rsidRPr="000D4DF8">
          <w:rPr>
            <w:rFonts w:cs="Segoe UI"/>
            <w:b/>
            <w:color w:val="0079A1"/>
            <w:sz w:val="20"/>
            <w:szCs w:val="20"/>
          </w:rPr>
          <w:instrText xml:space="preserve"> PAGE   \* MERGEFORMAT </w:instrText>
        </w:r>
        <w:r w:rsidR="00427BE9" w:rsidRPr="000D4DF8">
          <w:rPr>
            <w:rFonts w:cs="Segoe UI"/>
            <w:b/>
            <w:color w:val="0079A1"/>
            <w:sz w:val="20"/>
            <w:szCs w:val="20"/>
          </w:rPr>
          <w:fldChar w:fldCharType="separate"/>
        </w:r>
        <w:r w:rsidR="002E760A">
          <w:rPr>
            <w:rFonts w:cs="Segoe UI"/>
            <w:b/>
            <w:noProof/>
            <w:color w:val="0079A1"/>
            <w:sz w:val="20"/>
            <w:szCs w:val="20"/>
          </w:rPr>
          <w:t>2</w:t>
        </w:r>
        <w:r w:rsidR="00427BE9" w:rsidRPr="000D4DF8">
          <w:rPr>
            <w:rFonts w:cs="Segoe UI"/>
            <w:b/>
            <w:noProof/>
            <w:color w:val="0079A1"/>
            <w:sz w:val="20"/>
            <w:szCs w:val="20"/>
          </w:rPr>
          <w:fldChar w:fldCharType="end"/>
        </w:r>
        <w:r w:rsidR="00427BE9" w:rsidRPr="000D4DF8">
          <w:rPr>
            <w:color w:val="0074A1"/>
          </w:rPr>
          <w:t xml:space="preserve"> </w:t>
        </w:r>
        <w:r w:rsidR="00427BE9" w:rsidRPr="000D4DF8">
          <w:rPr>
            <w:color w:val="65CDF6"/>
          </w:rPr>
          <w:t>|</w:t>
        </w:r>
        <w:r w:rsidR="00427BE9" w:rsidRPr="000D4DF8">
          <w:rPr>
            <w:color w:val="0074A1"/>
          </w:rPr>
          <w:t xml:space="preserve"> </w:t>
        </w:r>
        <w:r w:rsidR="00427BE9">
          <w:rPr>
            <w:color w:val="0074A1"/>
            <w:szCs w:val="18"/>
          </w:rPr>
          <w:t xml:space="preserve">NSW Department of Primary Industries, </w:t>
        </w:r>
      </w:sdtContent>
    </w:sdt>
    <w:r w:rsidR="00427BE9" w:rsidRPr="000D4DF8">
      <w:rPr>
        <w:color w:val="0074A1"/>
        <w:szCs w:val="18"/>
      </w:rPr>
      <w:fldChar w:fldCharType="begin"/>
    </w:r>
    <w:r w:rsidR="00427BE9" w:rsidRPr="000D4DF8">
      <w:rPr>
        <w:color w:val="0074A1"/>
        <w:szCs w:val="18"/>
      </w:rPr>
      <w:instrText xml:space="preserve"> DATE  \@ "MMMM yyyy"  \* MERGEFORMAT </w:instrText>
    </w:r>
    <w:r w:rsidR="00427BE9" w:rsidRPr="000D4DF8">
      <w:rPr>
        <w:color w:val="0074A1"/>
        <w:szCs w:val="18"/>
      </w:rPr>
      <w:fldChar w:fldCharType="separate"/>
    </w:r>
    <w:r w:rsidR="00E37FC6">
      <w:rPr>
        <w:noProof/>
        <w:color w:val="0074A1"/>
        <w:szCs w:val="18"/>
      </w:rPr>
      <w:t>September 2020</w:t>
    </w:r>
    <w:r w:rsidR="00427BE9" w:rsidRPr="000D4DF8">
      <w:rPr>
        <w:color w:val="0074A1"/>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5182" w14:textId="5669CA99" w:rsidR="00FA1BCE" w:rsidRPr="00427BE9" w:rsidRDefault="00FA1BCE" w:rsidP="00D92D85">
    <w:pPr>
      <w:pStyle w:val="FooterBann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D20B" w14:textId="35560B49" w:rsidR="00235901" w:rsidRDefault="00235901" w:rsidP="0083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B281" w14:textId="77777777" w:rsidR="00350773" w:rsidRDefault="00350773" w:rsidP="006C32D2">
      <w:r>
        <w:separator/>
      </w:r>
    </w:p>
    <w:p w14:paraId="5F68FB05" w14:textId="77777777" w:rsidR="00350773" w:rsidRDefault="00350773" w:rsidP="006C32D2"/>
    <w:p w14:paraId="5972C7E8" w14:textId="77777777" w:rsidR="00350773" w:rsidRDefault="00350773" w:rsidP="006C32D2"/>
    <w:p w14:paraId="236BE800" w14:textId="77777777" w:rsidR="00350773" w:rsidRDefault="00350773" w:rsidP="006C32D2"/>
    <w:p w14:paraId="7DAFFDDF" w14:textId="77777777" w:rsidR="00350773" w:rsidRDefault="00350773"/>
  </w:footnote>
  <w:footnote w:type="continuationSeparator" w:id="0">
    <w:p w14:paraId="3C7D4E51" w14:textId="77777777" w:rsidR="00350773" w:rsidRDefault="00350773" w:rsidP="006C32D2">
      <w:r>
        <w:continuationSeparator/>
      </w:r>
    </w:p>
    <w:p w14:paraId="2E323B37" w14:textId="77777777" w:rsidR="00350773" w:rsidRDefault="00350773" w:rsidP="006C32D2"/>
    <w:p w14:paraId="581672E3" w14:textId="77777777" w:rsidR="00350773" w:rsidRDefault="00350773" w:rsidP="006C32D2"/>
    <w:p w14:paraId="70425A5C" w14:textId="77777777" w:rsidR="00350773" w:rsidRDefault="00350773" w:rsidP="006C32D2"/>
    <w:p w14:paraId="3C916AD7" w14:textId="77777777" w:rsidR="00350773" w:rsidRDefault="00350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D9B9" w14:textId="77777777" w:rsidR="009B54E4" w:rsidRDefault="009B5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92940426"/>
      <w:dataBinding w:prefixMappings="xmlns:ns0='http://purl.org/dc/elements/1.1/' xmlns:ns1='http://schemas.openxmlformats.org/package/2006/metadata/core-properties' " w:xpath="/ns1:coreProperties[1]/ns0:title[1]" w:storeItemID="{6C3C8BC8-F283-45AE-878A-BAB7291924A1}"/>
      <w:text/>
    </w:sdtPr>
    <w:sdtEndPr/>
    <w:sdtContent>
      <w:p w14:paraId="3774967B" w14:textId="58CB96F4" w:rsidR="00427BE9" w:rsidRPr="00427BE9" w:rsidRDefault="008975BC" w:rsidP="00427BE9">
        <w:pPr>
          <w:pStyle w:val="Header"/>
        </w:pPr>
        <w:r>
          <w:t>Cattle tick risk management plan template for NSW feedlots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5454" w14:textId="22853058" w:rsidR="00FA1BCE" w:rsidRDefault="00FA1BCE" w:rsidP="00891F6A">
    <w:pPr>
      <w:pStyle w:val="Header"/>
      <w:jc w:val="left"/>
    </w:pPr>
  </w:p>
  <w:p w14:paraId="3104F2DB" w14:textId="77777777" w:rsidR="00931C3D" w:rsidRPr="00A02344" w:rsidRDefault="00931C3D" w:rsidP="00A02344">
    <w:pPr>
      <w:pStyle w:val="Bann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05227323"/>
      <w:dataBinding w:prefixMappings="xmlns:ns0='http://purl.org/dc/elements/1.1/' xmlns:ns1='http://schemas.openxmlformats.org/package/2006/metadata/core-properties' " w:xpath="/ns1:coreProperties[1]/ns0:title[1]" w:storeItemID="{6C3C8BC8-F283-45AE-878A-BAB7291924A1}"/>
      <w:text/>
    </w:sdtPr>
    <w:sdtEndPr/>
    <w:sdtContent>
      <w:p w14:paraId="5FFF969C" w14:textId="12047F23" w:rsidR="00235901" w:rsidRDefault="008975BC" w:rsidP="007F2CDF">
        <w:pPr>
          <w:pStyle w:val="Header"/>
        </w:pPr>
        <w:r>
          <w:t>Cattle tick risk management plan template for NSW feedlots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3818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DE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048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6D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62E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439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E67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16B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25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040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A7978"/>
    <w:multiLevelType w:val="hybridMultilevel"/>
    <w:tmpl w:val="4C20C048"/>
    <w:lvl w:ilvl="0" w:tplc="DFDA38CA">
      <w:start w:val="1"/>
      <w:numFmt w:val="bullet"/>
      <w:lvlText w:val="•"/>
      <w:lvlJc w:val="left"/>
      <w:pPr>
        <w:ind w:left="40" w:hanging="360"/>
      </w:pPr>
      <w:rPr>
        <w:rFonts w:ascii="Calibri" w:hAnsi="Calibri"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11" w15:restartNumberingAfterBreak="0">
    <w:nsid w:val="0093262A"/>
    <w:multiLevelType w:val="hybridMultilevel"/>
    <w:tmpl w:val="B15C9362"/>
    <w:lvl w:ilvl="0" w:tplc="85DCCF88">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E37D57"/>
    <w:multiLevelType w:val="multilevel"/>
    <w:tmpl w:val="39E2F962"/>
    <w:styleLink w:val="Titles"/>
    <w:lvl w:ilvl="0">
      <w:start w:val="1"/>
      <w:numFmt w:val="bullet"/>
      <w:pStyle w:val="SeriesTitle"/>
      <w:lvlText w:val="•"/>
      <w:lvlJc w:val="left"/>
      <w:pPr>
        <w:ind w:left="0" w:hanging="680"/>
      </w:pPr>
      <w:rPr>
        <w:rFonts w:ascii="Calibri" w:hAnsi="Calibri" w:hint="default"/>
        <w:color w:val="3A4C62" w:themeColor="text2"/>
      </w:rPr>
    </w:lvl>
    <w:lvl w:ilvl="1">
      <w:start w:val="1"/>
      <w:numFmt w:val="bullet"/>
      <w:pStyle w:val="Title"/>
      <w:lvlText w:val="•"/>
      <w:lvlJc w:val="left"/>
      <w:pPr>
        <w:ind w:left="0" w:hanging="680"/>
      </w:pPr>
      <w:rPr>
        <w:rFonts w:ascii="Calibri" w:hAnsi="Calibri" w:hint="default"/>
        <w:color w:val="3A4C62" w:themeColor="text2"/>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cs="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cs="Courier New" w:hint="default"/>
      </w:rPr>
    </w:lvl>
    <w:lvl w:ilvl="8">
      <w:start w:val="1"/>
      <w:numFmt w:val="bullet"/>
      <w:lvlText w:val=""/>
      <w:lvlJc w:val="left"/>
      <w:pPr>
        <w:ind w:left="5800" w:hanging="360"/>
      </w:pPr>
      <w:rPr>
        <w:rFonts w:ascii="Wingdings" w:hAnsi="Wingdings" w:hint="default"/>
      </w:rPr>
    </w:lvl>
  </w:abstractNum>
  <w:abstractNum w:abstractNumId="13" w15:restartNumberingAfterBreak="0">
    <w:nsid w:val="031F6C2D"/>
    <w:multiLevelType w:val="hybridMultilevel"/>
    <w:tmpl w:val="7CBEE96A"/>
    <w:lvl w:ilvl="0" w:tplc="0C090003">
      <w:start w:val="1"/>
      <w:numFmt w:val="bullet"/>
      <w:lvlText w:val="o"/>
      <w:lvlJc w:val="left"/>
      <w:pPr>
        <w:ind w:left="644" w:hanging="360"/>
      </w:pPr>
      <w:rPr>
        <w:rFonts w:ascii="Courier New" w:hAnsi="Courier New" w:cs="Courier New"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077E2F65"/>
    <w:multiLevelType w:val="hybridMultilevel"/>
    <w:tmpl w:val="F23694DE"/>
    <w:lvl w:ilvl="0" w:tplc="A52C26E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ED35FA6"/>
    <w:multiLevelType w:val="hybridMultilevel"/>
    <w:tmpl w:val="E4DA12F0"/>
    <w:lvl w:ilvl="0" w:tplc="C32E4D24">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F94550"/>
    <w:multiLevelType w:val="hybridMultilevel"/>
    <w:tmpl w:val="833C10EE"/>
    <w:lvl w:ilvl="0" w:tplc="CB367B4A">
      <w:start w:val="1"/>
      <w:numFmt w:val="bullet"/>
      <w:pStyle w:val="bullet2"/>
      <w:lvlText w:val="⭕"/>
      <w:lvlJc w:val="left"/>
      <w:pPr>
        <w:ind w:left="644" w:hanging="360"/>
      </w:pPr>
      <w:rPr>
        <w:rFonts w:ascii="Segoe UI Symbol" w:hAnsi="Segoe UI Symbol" w:hint="default"/>
        <w:b/>
        <w:i w:val="0"/>
        <w:sz w:val="1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18A705A7"/>
    <w:multiLevelType w:val="hybridMultilevel"/>
    <w:tmpl w:val="2B54B0CC"/>
    <w:lvl w:ilvl="0" w:tplc="C3702E74">
      <w:start w:val="1"/>
      <w:numFmt w:val="bullet"/>
      <w:lvlText w:val="○"/>
      <w:lvlJc w:val="left"/>
      <w:pPr>
        <w:ind w:left="644" w:hanging="360"/>
      </w:pPr>
      <w:rPr>
        <w:rFonts w:ascii="Segoe UI" w:hAnsi="Segoe UI"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1C6914A3"/>
    <w:multiLevelType w:val="hybridMultilevel"/>
    <w:tmpl w:val="A99EB244"/>
    <w:lvl w:ilvl="0" w:tplc="CB725CE8">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67D14"/>
    <w:multiLevelType w:val="hybridMultilevel"/>
    <w:tmpl w:val="926A95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280700"/>
    <w:multiLevelType w:val="hybridMultilevel"/>
    <w:tmpl w:val="921815B4"/>
    <w:lvl w:ilvl="0" w:tplc="CB76E15E">
      <w:start w:val="1"/>
      <w:numFmt w:val="bullet"/>
      <w:lvlText w:val="o"/>
      <w:lvlJc w:val="left"/>
      <w:pPr>
        <w:ind w:left="644" w:hanging="360"/>
      </w:pPr>
      <w:rPr>
        <w:rFonts w:ascii="Courier New" w:hAnsi="Courier New" w:hint="default"/>
        <w:b/>
        <w:i w:val="0"/>
        <w:sz w:val="1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5AB633E8"/>
    <w:multiLevelType w:val="hybridMultilevel"/>
    <w:tmpl w:val="35BCF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943796"/>
    <w:multiLevelType w:val="multilevel"/>
    <w:tmpl w:val="39E2F962"/>
    <w:numStyleLink w:val="Titles"/>
  </w:abstractNum>
  <w:abstractNum w:abstractNumId="23" w15:restartNumberingAfterBreak="0">
    <w:nsid w:val="6CB07715"/>
    <w:multiLevelType w:val="hybridMultilevel"/>
    <w:tmpl w:val="2DF67B0E"/>
    <w:lvl w:ilvl="0" w:tplc="5678936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DF5109"/>
    <w:multiLevelType w:val="hybridMultilevel"/>
    <w:tmpl w:val="07D01E74"/>
    <w:lvl w:ilvl="0" w:tplc="C3702E74">
      <w:start w:val="1"/>
      <w:numFmt w:val="bullet"/>
      <w:lvlText w:val="○"/>
      <w:lvlJc w:val="left"/>
      <w:pPr>
        <w:ind w:left="644" w:hanging="360"/>
      </w:pPr>
      <w:rPr>
        <w:rFonts w:ascii="Segoe UI" w:hAnsi="Segoe UI"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78BB7E97"/>
    <w:multiLevelType w:val="hybridMultilevel"/>
    <w:tmpl w:val="5FF83BBC"/>
    <w:lvl w:ilvl="0" w:tplc="DC04300E">
      <w:start w:val="1"/>
      <w:numFmt w:val="bullet"/>
      <w:lvlText w:val="⭕"/>
      <w:lvlJc w:val="left"/>
      <w:pPr>
        <w:ind w:left="644" w:hanging="360"/>
      </w:pPr>
      <w:rPr>
        <w:rFonts w:ascii="Segoe UI Symbol" w:hAnsi="Segoe UI Symbol"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7D1E4603"/>
    <w:multiLevelType w:val="hybridMultilevel"/>
    <w:tmpl w:val="5B4E552C"/>
    <w:lvl w:ilvl="0" w:tplc="0C090003">
      <w:start w:val="1"/>
      <w:numFmt w:val="bullet"/>
      <w:lvlText w:val="o"/>
      <w:lvlJc w:val="left"/>
      <w:pPr>
        <w:ind w:left="644" w:hanging="360"/>
      </w:pPr>
      <w:rPr>
        <w:rFonts w:ascii="Courier New" w:hAnsi="Courier New" w:cs="Courier New"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7D835D65"/>
    <w:multiLevelType w:val="hybridMultilevel"/>
    <w:tmpl w:val="51521970"/>
    <w:lvl w:ilvl="0" w:tplc="0C090003">
      <w:start w:val="1"/>
      <w:numFmt w:val="bullet"/>
      <w:lvlText w:val="o"/>
      <w:lvlJc w:val="left"/>
      <w:pPr>
        <w:ind w:left="644" w:hanging="360"/>
      </w:pPr>
      <w:rPr>
        <w:rFonts w:ascii="Courier New" w:hAnsi="Courier New" w:cs="Courier New"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7F0B1829"/>
    <w:multiLevelType w:val="hybridMultilevel"/>
    <w:tmpl w:val="9E582B34"/>
    <w:lvl w:ilvl="0" w:tplc="C3702E74">
      <w:start w:val="1"/>
      <w:numFmt w:val="bullet"/>
      <w:lvlText w:val="○"/>
      <w:lvlJc w:val="left"/>
      <w:pPr>
        <w:ind w:left="644" w:hanging="360"/>
      </w:pPr>
      <w:rPr>
        <w:rFonts w:ascii="Segoe UI" w:hAnsi="Segoe UI"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5"/>
  </w:num>
  <w:num w:numId="2">
    <w:abstractNumId w:val="11"/>
  </w:num>
  <w:num w:numId="3">
    <w:abstractNumId w:val="19"/>
  </w:num>
  <w:num w:numId="4">
    <w:abstractNumId w:val="28"/>
  </w:num>
  <w:num w:numId="5">
    <w:abstractNumId w:val="24"/>
  </w:num>
  <w:num w:numId="6">
    <w:abstractNumId w:val="26"/>
  </w:num>
  <w:num w:numId="7">
    <w:abstractNumId w:val="13"/>
  </w:num>
  <w:num w:numId="8">
    <w:abstractNumId w:val="27"/>
  </w:num>
  <w:num w:numId="9">
    <w:abstractNumId w:val="20"/>
  </w:num>
  <w:num w:numId="10">
    <w:abstractNumId w:val="17"/>
  </w:num>
  <w:num w:numId="11">
    <w:abstractNumId w:val="25"/>
  </w:num>
  <w:num w:numId="12">
    <w:abstractNumId w:val="16"/>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197F"/>
    <w:rsid w:val="000015C1"/>
    <w:rsid w:val="00010970"/>
    <w:rsid w:val="00012E9C"/>
    <w:rsid w:val="00013712"/>
    <w:rsid w:val="00015FE7"/>
    <w:rsid w:val="00021CC5"/>
    <w:rsid w:val="00022D4C"/>
    <w:rsid w:val="00040139"/>
    <w:rsid w:val="00050AA3"/>
    <w:rsid w:val="0005152D"/>
    <w:rsid w:val="00064274"/>
    <w:rsid w:val="00067062"/>
    <w:rsid w:val="00080BB2"/>
    <w:rsid w:val="00082F4F"/>
    <w:rsid w:val="000927A1"/>
    <w:rsid w:val="000B13D8"/>
    <w:rsid w:val="000C0074"/>
    <w:rsid w:val="000C17CE"/>
    <w:rsid w:val="000C17EF"/>
    <w:rsid w:val="000D156D"/>
    <w:rsid w:val="000D4DF8"/>
    <w:rsid w:val="000E0EEF"/>
    <w:rsid w:val="000E0FBF"/>
    <w:rsid w:val="000F4C66"/>
    <w:rsid w:val="00100CA3"/>
    <w:rsid w:val="0011033D"/>
    <w:rsid w:val="001240AA"/>
    <w:rsid w:val="00127070"/>
    <w:rsid w:val="001318E5"/>
    <w:rsid w:val="00137CBD"/>
    <w:rsid w:val="00155DF7"/>
    <w:rsid w:val="001571B9"/>
    <w:rsid w:val="0017156F"/>
    <w:rsid w:val="00177F47"/>
    <w:rsid w:val="0019411D"/>
    <w:rsid w:val="001A14BB"/>
    <w:rsid w:val="001A1B0F"/>
    <w:rsid w:val="001B1532"/>
    <w:rsid w:val="001B762D"/>
    <w:rsid w:val="001C0A23"/>
    <w:rsid w:val="001C3067"/>
    <w:rsid w:val="001C33C1"/>
    <w:rsid w:val="001C3EDD"/>
    <w:rsid w:val="001D3CA6"/>
    <w:rsid w:val="001D482E"/>
    <w:rsid w:val="001D72DB"/>
    <w:rsid w:val="001E0186"/>
    <w:rsid w:val="00200D11"/>
    <w:rsid w:val="00217AD3"/>
    <w:rsid w:val="00227EA0"/>
    <w:rsid w:val="00231ABA"/>
    <w:rsid w:val="00235901"/>
    <w:rsid w:val="00236165"/>
    <w:rsid w:val="002425D1"/>
    <w:rsid w:val="00242D58"/>
    <w:rsid w:val="002467F0"/>
    <w:rsid w:val="002511BC"/>
    <w:rsid w:val="002537E7"/>
    <w:rsid w:val="00261704"/>
    <w:rsid w:val="00273769"/>
    <w:rsid w:val="00276188"/>
    <w:rsid w:val="002817A9"/>
    <w:rsid w:val="00292431"/>
    <w:rsid w:val="002A0009"/>
    <w:rsid w:val="002A351A"/>
    <w:rsid w:val="002B25BB"/>
    <w:rsid w:val="002B2F74"/>
    <w:rsid w:val="002E760A"/>
    <w:rsid w:val="002F4BB9"/>
    <w:rsid w:val="00300E83"/>
    <w:rsid w:val="00301738"/>
    <w:rsid w:val="003071E9"/>
    <w:rsid w:val="003145C9"/>
    <w:rsid w:val="003277E0"/>
    <w:rsid w:val="00350773"/>
    <w:rsid w:val="00351CB0"/>
    <w:rsid w:val="0035741E"/>
    <w:rsid w:val="00367553"/>
    <w:rsid w:val="00367785"/>
    <w:rsid w:val="0037031D"/>
    <w:rsid w:val="00373E67"/>
    <w:rsid w:val="00374A34"/>
    <w:rsid w:val="00381C93"/>
    <w:rsid w:val="00396EEF"/>
    <w:rsid w:val="003A3713"/>
    <w:rsid w:val="003B2028"/>
    <w:rsid w:val="003B58FD"/>
    <w:rsid w:val="003C0142"/>
    <w:rsid w:val="003C02D1"/>
    <w:rsid w:val="003C25C9"/>
    <w:rsid w:val="003D5804"/>
    <w:rsid w:val="003E05CE"/>
    <w:rsid w:val="004007DA"/>
    <w:rsid w:val="00413A13"/>
    <w:rsid w:val="00427BE9"/>
    <w:rsid w:val="00431141"/>
    <w:rsid w:val="00432E09"/>
    <w:rsid w:val="00441C4D"/>
    <w:rsid w:val="004421DC"/>
    <w:rsid w:val="0044365D"/>
    <w:rsid w:val="00446483"/>
    <w:rsid w:val="00452306"/>
    <w:rsid w:val="00452C6F"/>
    <w:rsid w:val="00454589"/>
    <w:rsid w:val="00457C03"/>
    <w:rsid w:val="004676C2"/>
    <w:rsid w:val="00471F68"/>
    <w:rsid w:val="00475CC5"/>
    <w:rsid w:val="00497032"/>
    <w:rsid w:val="004A6C40"/>
    <w:rsid w:val="004A77C6"/>
    <w:rsid w:val="004C0929"/>
    <w:rsid w:val="004C17F2"/>
    <w:rsid w:val="004C7782"/>
    <w:rsid w:val="004E06CA"/>
    <w:rsid w:val="004E08A4"/>
    <w:rsid w:val="004E70DD"/>
    <w:rsid w:val="004F4EE0"/>
    <w:rsid w:val="004F57A6"/>
    <w:rsid w:val="004F5DC1"/>
    <w:rsid w:val="005062CF"/>
    <w:rsid w:val="00507656"/>
    <w:rsid w:val="005113AA"/>
    <w:rsid w:val="00516013"/>
    <w:rsid w:val="00545C31"/>
    <w:rsid w:val="00557E65"/>
    <w:rsid w:val="00572AD7"/>
    <w:rsid w:val="00581DA5"/>
    <w:rsid w:val="005A75DC"/>
    <w:rsid w:val="005C4B36"/>
    <w:rsid w:val="005D43ED"/>
    <w:rsid w:val="005E5795"/>
    <w:rsid w:val="005F3589"/>
    <w:rsid w:val="005F45E9"/>
    <w:rsid w:val="0060585F"/>
    <w:rsid w:val="00616623"/>
    <w:rsid w:val="0062690A"/>
    <w:rsid w:val="006440C8"/>
    <w:rsid w:val="00651F20"/>
    <w:rsid w:val="00661752"/>
    <w:rsid w:val="00676305"/>
    <w:rsid w:val="00691631"/>
    <w:rsid w:val="006A206E"/>
    <w:rsid w:val="006A6B79"/>
    <w:rsid w:val="006C21A3"/>
    <w:rsid w:val="006C32D2"/>
    <w:rsid w:val="006E07A4"/>
    <w:rsid w:val="006E61DE"/>
    <w:rsid w:val="006E67F7"/>
    <w:rsid w:val="006E6FD0"/>
    <w:rsid w:val="006F5AF1"/>
    <w:rsid w:val="007309F4"/>
    <w:rsid w:val="00744494"/>
    <w:rsid w:val="00746666"/>
    <w:rsid w:val="007636C4"/>
    <w:rsid w:val="007A13D1"/>
    <w:rsid w:val="007C1233"/>
    <w:rsid w:val="007D4CC2"/>
    <w:rsid w:val="007F354E"/>
    <w:rsid w:val="007F4765"/>
    <w:rsid w:val="007F6285"/>
    <w:rsid w:val="007F7F1D"/>
    <w:rsid w:val="00804083"/>
    <w:rsid w:val="00807444"/>
    <w:rsid w:val="008157C0"/>
    <w:rsid w:val="00821D94"/>
    <w:rsid w:val="00822D64"/>
    <w:rsid w:val="00823F1B"/>
    <w:rsid w:val="00830A8B"/>
    <w:rsid w:val="008320D6"/>
    <w:rsid w:val="008336CB"/>
    <w:rsid w:val="00844D35"/>
    <w:rsid w:val="0085405F"/>
    <w:rsid w:val="0085616F"/>
    <w:rsid w:val="008727C3"/>
    <w:rsid w:val="0088688D"/>
    <w:rsid w:val="00891F6A"/>
    <w:rsid w:val="008926F1"/>
    <w:rsid w:val="008932D7"/>
    <w:rsid w:val="00893A0C"/>
    <w:rsid w:val="008975BC"/>
    <w:rsid w:val="00897F43"/>
    <w:rsid w:val="008A5AD6"/>
    <w:rsid w:val="008B1191"/>
    <w:rsid w:val="008B64A7"/>
    <w:rsid w:val="008D6F99"/>
    <w:rsid w:val="008E4AE7"/>
    <w:rsid w:val="008E5262"/>
    <w:rsid w:val="008E7C09"/>
    <w:rsid w:val="00900974"/>
    <w:rsid w:val="00917957"/>
    <w:rsid w:val="009231CD"/>
    <w:rsid w:val="00923F16"/>
    <w:rsid w:val="00924312"/>
    <w:rsid w:val="009307BD"/>
    <w:rsid w:val="00931C3D"/>
    <w:rsid w:val="0093411E"/>
    <w:rsid w:val="00937E66"/>
    <w:rsid w:val="00940BDD"/>
    <w:rsid w:val="0094408A"/>
    <w:rsid w:val="00945DBC"/>
    <w:rsid w:val="00953174"/>
    <w:rsid w:val="009534F2"/>
    <w:rsid w:val="00955E29"/>
    <w:rsid w:val="0097193F"/>
    <w:rsid w:val="009724F8"/>
    <w:rsid w:val="00977254"/>
    <w:rsid w:val="009807C6"/>
    <w:rsid w:val="00981ECF"/>
    <w:rsid w:val="009877C5"/>
    <w:rsid w:val="00990741"/>
    <w:rsid w:val="0099226E"/>
    <w:rsid w:val="009B318A"/>
    <w:rsid w:val="009B54E4"/>
    <w:rsid w:val="009C713C"/>
    <w:rsid w:val="009D6A33"/>
    <w:rsid w:val="009E5FCF"/>
    <w:rsid w:val="009E7D5C"/>
    <w:rsid w:val="009F0998"/>
    <w:rsid w:val="009F6CE0"/>
    <w:rsid w:val="00A02344"/>
    <w:rsid w:val="00A10AF8"/>
    <w:rsid w:val="00A12E60"/>
    <w:rsid w:val="00A217B2"/>
    <w:rsid w:val="00A246C3"/>
    <w:rsid w:val="00A34166"/>
    <w:rsid w:val="00A4319E"/>
    <w:rsid w:val="00A44E16"/>
    <w:rsid w:val="00A5430A"/>
    <w:rsid w:val="00A622DA"/>
    <w:rsid w:val="00A6442F"/>
    <w:rsid w:val="00A71DE9"/>
    <w:rsid w:val="00A74161"/>
    <w:rsid w:val="00A83596"/>
    <w:rsid w:val="00A97F26"/>
    <w:rsid w:val="00AB3AAF"/>
    <w:rsid w:val="00AC2066"/>
    <w:rsid w:val="00AD10ED"/>
    <w:rsid w:val="00AD1750"/>
    <w:rsid w:val="00AD2122"/>
    <w:rsid w:val="00AD633B"/>
    <w:rsid w:val="00B00F05"/>
    <w:rsid w:val="00B02D9C"/>
    <w:rsid w:val="00B26F67"/>
    <w:rsid w:val="00B324BF"/>
    <w:rsid w:val="00B35B99"/>
    <w:rsid w:val="00B3793B"/>
    <w:rsid w:val="00B537CA"/>
    <w:rsid w:val="00B56F32"/>
    <w:rsid w:val="00B660D0"/>
    <w:rsid w:val="00B705CB"/>
    <w:rsid w:val="00B72D66"/>
    <w:rsid w:val="00B802CB"/>
    <w:rsid w:val="00B82525"/>
    <w:rsid w:val="00B84DA5"/>
    <w:rsid w:val="00B953A3"/>
    <w:rsid w:val="00BA034A"/>
    <w:rsid w:val="00BB1759"/>
    <w:rsid w:val="00BB22DE"/>
    <w:rsid w:val="00BC4E20"/>
    <w:rsid w:val="00BC6A39"/>
    <w:rsid w:val="00BE0A71"/>
    <w:rsid w:val="00BF186F"/>
    <w:rsid w:val="00BF1A01"/>
    <w:rsid w:val="00C1333C"/>
    <w:rsid w:val="00C15866"/>
    <w:rsid w:val="00C17180"/>
    <w:rsid w:val="00C309C6"/>
    <w:rsid w:val="00C317DD"/>
    <w:rsid w:val="00C33FC8"/>
    <w:rsid w:val="00C5217A"/>
    <w:rsid w:val="00C6160D"/>
    <w:rsid w:val="00C64ED9"/>
    <w:rsid w:val="00C651D6"/>
    <w:rsid w:val="00C7333E"/>
    <w:rsid w:val="00C754B3"/>
    <w:rsid w:val="00C803F9"/>
    <w:rsid w:val="00C85F4A"/>
    <w:rsid w:val="00C908D8"/>
    <w:rsid w:val="00C95B67"/>
    <w:rsid w:val="00C96244"/>
    <w:rsid w:val="00C967E6"/>
    <w:rsid w:val="00CA041D"/>
    <w:rsid w:val="00CB21B9"/>
    <w:rsid w:val="00CB6E66"/>
    <w:rsid w:val="00CC0886"/>
    <w:rsid w:val="00CC7EF8"/>
    <w:rsid w:val="00CD0BF1"/>
    <w:rsid w:val="00CD3945"/>
    <w:rsid w:val="00CD46C4"/>
    <w:rsid w:val="00CF71C2"/>
    <w:rsid w:val="00D05579"/>
    <w:rsid w:val="00D075B1"/>
    <w:rsid w:val="00D106B3"/>
    <w:rsid w:val="00D12370"/>
    <w:rsid w:val="00D31CBE"/>
    <w:rsid w:val="00D32FE1"/>
    <w:rsid w:val="00D45350"/>
    <w:rsid w:val="00D549FC"/>
    <w:rsid w:val="00D5655B"/>
    <w:rsid w:val="00D61642"/>
    <w:rsid w:val="00D620C0"/>
    <w:rsid w:val="00D8486D"/>
    <w:rsid w:val="00D84DAE"/>
    <w:rsid w:val="00D92D85"/>
    <w:rsid w:val="00DA0309"/>
    <w:rsid w:val="00DA1148"/>
    <w:rsid w:val="00DA3EAB"/>
    <w:rsid w:val="00DB0BD4"/>
    <w:rsid w:val="00DB164C"/>
    <w:rsid w:val="00DB61AD"/>
    <w:rsid w:val="00DB6760"/>
    <w:rsid w:val="00DC0344"/>
    <w:rsid w:val="00DC6380"/>
    <w:rsid w:val="00DC6ADA"/>
    <w:rsid w:val="00DF711C"/>
    <w:rsid w:val="00E02A8B"/>
    <w:rsid w:val="00E21126"/>
    <w:rsid w:val="00E35D15"/>
    <w:rsid w:val="00E37FC6"/>
    <w:rsid w:val="00E4197F"/>
    <w:rsid w:val="00E42127"/>
    <w:rsid w:val="00E45EA1"/>
    <w:rsid w:val="00E57BF5"/>
    <w:rsid w:val="00E62984"/>
    <w:rsid w:val="00E752FC"/>
    <w:rsid w:val="00E75529"/>
    <w:rsid w:val="00E84A2D"/>
    <w:rsid w:val="00E861F3"/>
    <w:rsid w:val="00E91756"/>
    <w:rsid w:val="00E943A9"/>
    <w:rsid w:val="00EA30F1"/>
    <w:rsid w:val="00EA40F1"/>
    <w:rsid w:val="00EA7766"/>
    <w:rsid w:val="00EB29CB"/>
    <w:rsid w:val="00EB5B39"/>
    <w:rsid w:val="00ED411E"/>
    <w:rsid w:val="00EE0B44"/>
    <w:rsid w:val="00EF66C3"/>
    <w:rsid w:val="00F0100B"/>
    <w:rsid w:val="00F0395C"/>
    <w:rsid w:val="00F04832"/>
    <w:rsid w:val="00F12937"/>
    <w:rsid w:val="00F133C4"/>
    <w:rsid w:val="00F152C2"/>
    <w:rsid w:val="00F2004A"/>
    <w:rsid w:val="00F3618A"/>
    <w:rsid w:val="00F362D5"/>
    <w:rsid w:val="00F36475"/>
    <w:rsid w:val="00F417DB"/>
    <w:rsid w:val="00F47EF3"/>
    <w:rsid w:val="00F5481C"/>
    <w:rsid w:val="00F57D6C"/>
    <w:rsid w:val="00F71990"/>
    <w:rsid w:val="00F82B57"/>
    <w:rsid w:val="00F82F69"/>
    <w:rsid w:val="00F94F92"/>
    <w:rsid w:val="00F96CDA"/>
    <w:rsid w:val="00FA04F2"/>
    <w:rsid w:val="00FA1BCE"/>
    <w:rsid w:val="00FA3E68"/>
    <w:rsid w:val="00FA66CA"/>
    <w:rsid w:val="00FA7DDB"/>
    <w:rsid w:val="00FB271B"/>
    <w:rsid w:val="00FB5855"/>
    <w:rsid w:val="00FB78C9"/>
    <w:rsid w:val="00FC18D9"/>
    <w:rsid w:val="00FD05F3"/>
    <w:rsid w:val="00FD57A2"/>
    <w:rsid w:val="00FE2CD5"/>
    <w:rsid w:val="00FE47ED"/>
    <w:rsid w:val="00FF6F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D085"/>
  <w15:docId w15:val="{7CC38BAF-7EB7-4957-B205-724587F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4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307BD"/>
    <w:pPr>
      <w:spacing w:before="120" w:after="120" w:line="290" w:lineRule="atLeast"/>
    </w:pPr>
    <w:rPr>
      <w:rFonts w:ascii="Segoe UI" w:hAnsi="Segoe UI"/>
    </w:rPr>
  </w:style>
  <w:style w:type="paragraph" w:styleId="Heading1">
    <w:name w:val="heading 1"/>
    <w:basedOn w:val="Normal"/>
    <w:next w:val="Normal"/>
    <w:link w:val="Heading1Char"/>
    <w:uiPriority w:val="9"/>
    <w:unhideWhenUsed/>
    <w:qFormat/>
    <w:rsid w:val="00F152C2"/>
    <w:pPr>
      <w:spacing w:before="240" w:line="400" w:lineRule="atLeast"/>
      <w:outlineLvl w:val="0"/>
    </w:pPr>
    <w:rPr>
      <w:b/>
      <w:color w:val="0074A1"/>
      <w:sz w:val="28"/>
      <w:szCs w:val="32"/>
    </w:rPr>
  </w:style>
  <w:style w:type="paragraph" w:styleId="Heading2">
    <w:name w:val="heading 2"/>
    <w:basedOn w:val="Heading3"/>
    <w:next w:val="Normal"/>
    <w:link w:val="Heading2Char"/>
    <w:uiPriority w:val="9"/>
    <w:unhideWhenUsed/>
    <w:qFormat/>
    <w:rsid w:val="00F152C2"/>
    <w:pPr>
      <w:outlineLvl w:val="1"/>
    </w:pPr>
  </w:style>
  <w:style w:type="paragraph" w:styleId="Heading3">
    <w:name w:val="heading 3"/>
    <w:basedOn w:val="Heading4"/>
    <w:next w:val="Normal"/>
    <w:link w:val="Heading3Char"/>
    <w:uiPriority w:val="9"/>
    <w:unhideWhenUsed/>
    <w:qFormat/>
    <w:rsid w:val="00F152C2"/>
    <w:pPr>
      <w:outlineLvl w:val="2"/>
    </w:pPr>
  </w:style>
  <w:style w:type="paragraph" w:styleId="Heading4">
    <w:name w:val="heading 4"/>
    <w:basedOn w:val="Normal"/>
    <w:next w:val="Normal"/>
    <w:link w:val="Heading4Char"/>
    <w:uiPriority w:val="9"/>
    <w:unhideWhenUsed/>
    <w:qFormat/>
    <w:rsid w:val="003277E0"/>
    <w:pPr>
      <w:spacing w:before="240" w:after="240"/>
      <w:outlineLvl w:val="3"/>
    </w:pPr>
    <w:rPr>
      <w:b/>
    </w:rPr>
  </w:style>
  <w:style w:type="paragraph" w:styleId="Heading5">
    <w:name w:val="heading 5"/>
    <w:basedOn w:val="Heading4"/>
    <w:next w:val="Normal"/>
    <w:link w:val="Heading5Char"/>
    <w:uiPriority w:val="9"/>
    <w:semiHidden/>
    <w:unhideWhenUsed/>
    <w:rsid w:val="00446483"/>
    <w:pPr>
      <w:keepNext/>
      <w:keepLines/>
      <w:spacing w:before="200" w:after="0"/>
      <w:outlineLvl w:val="4"/>
    </w:pPr>
    <w:rPr>
      <w:rFonts w:eastAsiaTheme="majorEastAsia" w:cstheme="majorBidi"/>
      <w:b w:val="0"/>
      <w:i/>
      <w:color w:val="1334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semiHidden/>
    <w:unhideWhenUsed/>
    <w:rsid w:val="00446483"/>
    <w:rPr>
      <w:i/>
      <w:iCs/>
      <w:color w:val="808080" w:themeColor="text1" w:themeTint="7F"/>
    </w:rPr>
  </w:style>
  <w:style w:type="paragraph" w:styleId="BalloonText">
    <w:name w:val="Balloon Text"/>
    <w:basedOn w:val="Normal"/>
    <w:link w:val="BalloonTextChar"/>
    <w:uiPriority w:val="99"/>
    <w:semiHidden/>
    <w:unhideWhenUsed/>
    <w:rsid w:val="00E4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27"/>
    <w:rPr>
      <w:rFonts w:ascii="Tahoma" w:hAnsi="Tahoma" w:cs="Tahoma"/>
      <w:sz w:val="16"/>
      <w:szCs w:val="16"/>
    </w:rPr>
  </w:style>
  <w:style w:type="character" w:styleId="Hyperlink">
    <w:name w:val="Hyperlink"/>
    <w:basedOn w:val="DefaultParagraphFont"/>
    <w:uiPriority w:val="99"/>
    <w:unhideWhenUsed/>
    <w:rsid w:val="00572AD7"/>
    <w:rPr>
      <w:color w:val="0257BE"/>
    </w:rPr>
  </w:style>
  <w:style w:type="paragraph" w:styleId="Header">
    <w:name w:val="header"/>
    <w:basedOn w:val="Normal"/>
    <w:link w:val="HeaderChar"/>
    <w:uiPriority w:val="99"/>
    <w:unhideWhenUsed/>
    <w:rsid w:val="000D156D"/>
    <w:pPr>
      <w:tabs>
        <w:tab w:val="center" w:pos="4513"/>
        <w:tab w:val="right" w:pos="9026"/>
      </w:tabs>
      <w:spacing w:after="0" w:line="240" w:lineRule="auto"/>
      <w:jc w:val="right"/>
    </w:pPr>
    <w:rPr>
      <w:color w:val="0070C0"/>
      <w:sz w:val="18"/>
    </w:rPr>
  </w:style>
  <w:style w:type="character" w:customStyle="1" w:styleId="HeaderChar">
    <w:name w:val="Header Char"/>
    <w:basedOn w:val="DefaultParagraphFont"/>
    <w:link w:val="Header"/>
    <w:uiPriority w:val="99"/>
    <w:rsid w:val="000D156D"/>
    <w:rPr>
      <w:rFonts w:ascii="Segoe UI" w:hAnsi="Segoe UI"/>
      <w:color w:val="0070C0"/>
      <w:sz w:val="18"/>
    </w:rPr>
  </w:style>
  <w:style w:type="paragraph" w:styleId="Footer">
    <w:name w:val="footer"/>
    <w:basedOn w:val="Normal"/>
    <w:link w:val="FooterChar"/>
    <w:uiPriority w:val="99"/>
    <w:unhideWhenUsed/>
    <w:rsid w:val="00227EA0"/>
    <w:pPr>
      <w:tabs>
        <w:tab w:val="center" w:pos="4513"/>
        <w:tab w:val="right" w:pos="9026"/>
      </w:tabs>
      <w:spacing w:after="0" w:line="240" w:lineRule="auto"/>
    </w:pPr>
    <w:rPr>
      <w:color w:val="02747E" w:themeColor="accent6" w:themeShade="80"/>
      <w:sz w:val="18"/>
    </w:rPr>
  </w:style>
  <w:style w:type="character" w:customStyle="1" w:styleId="FooterChar">
    <w:name w:val="Footer Char"/>
    <w:basedOn w:val="DefaultParagraphFont"/>
    <w:link w:val="Footer"/>
    <w:uiPriority w:val="99"/>
    <w:rsid w:val="00446483"/>
    <w:rPr>
      <w:rFonts w:ascii="Segoe UI" w:hAnsi="Segoe UI"/>
      <w:color w:val="02747E" w:themeColor="accent6" w:themeShade="80"/>
      <w:sz w:val="18"/>
    </w:rPr>
  </w:style>
  <w:style w:type="character" w:customStyle="1" w:styleId="Heading1Char">
    <w:name w:val="Heading 1 Char"/>
    <w:basedOn w:val="DefaultParagraphFont"/>
    <w:link w:val="Heading1"/>
    <w:uiPriority w:val="9"/>
    <w:rsid w:val="00F152C2"/>
    <w:rPr>
      <w:rFonts w:ascii="Segoe UI" w:hAnsi="Segoe UI"/>
      <w:b/>
      <w:color w:val="0074A1"/>
      <w:sz w:val="28"/>
      <w:szCs w:val="32"/>
    </w:rPr>
  </w:style>
  <w:style w:type="character" w:customStyle="1" w:styleId="Heading2Char">
    <w:name w:val="Heading 2 Char"/>
    <w:basedOn w:val="DefaultParagraphFont"/>
    <w:link w:val="Heading2"/>
    <w:uiPriority w:val="9"/>
    <w:rsid w:val="00F152C2"/>
    <w:rPr>
      <w:rFonts w:ascii="Segoe UI" w:hAnsi="Segoe UI" w:cs="Segoe UI"/>
      <w:b/>
      <w:color w:val="000000" w:themeColor="text1"/>
      <w:sz w:val="24"/>
      <w:szCs w:val="24"/>
    </w:rPr>
  </w:style>
  <w:style w:type="character" w:customStyle="1" w:styleId="Heading3Char">
    <w:name w:val="Heading 3 Char"/>
    <w:basedOn w:val="DefaultParagraphFont"/>
    <w:link w:val="Heading3"/>
    <w:uiPriority w:val="9"/>
    <w:rsid w:val="00F152C2"/>
    <w:rPr>
      <w:rFonts w:ascii="Segoe UI" w:hAnsi="Segoe UI"/>
      <w:b/>
    </w:rPr>
  </w:style>
  <w:style w:type="paragraph" w:styleId="ListParagraph">
    <w:name w:val="List Paragraph"/>
    <w:basedOn w:val="Normal"/>
    <w:uiPriority w:val="34"/>
    <w:rsid w:val="00446483"/>
    <w:pPr>
      <w:ind w:left="720"/>
      <w:contextualSpacing/>
    </w:pPr>
  </w:style>
  <w:style w:type="paragraph" w:customStyle="1" w:styleId="bullet">
    <w:name w:val="bullet"/>
    <w:basedOn w:val="Normal"/>
    <w:qFormat/>
    <w:rsid w:val="00BC4E20"/>
    <w:pPr>
      <w:numPr>
        <w:numId w:val="1"/>
      </w:numPr>
      <w:spacing w:before="80" w:after="80"/>
      <w:ind w:left="284" w:hanging="284"/>
    </w:pPr>
  </w:style>
  <w:style w:type="paragraph" w:customStyle="1" w:styleId="bullet2">
    <w:name w:val="bullet 2"/>
    <w:basedOn w:val="bullet"/>
    <w:qFormat/>
    <w:rsid w:val="00BC4E20"/>
    <w:pPr>
      <w:numPr>
        <w:numId w:val="12"/>
      </w:numPr>
    </w:pPr>
  </w:style>
  <w:style w:type="paragraph" w:customStyle="1" w:styleId="introductiontext">
    <w:name w:val="introduction text"/>
    <w:basedOn w:val="Normal"/>
    <w:qFormat/>
    <w:rsid w:val="000E0EEF"/>
    <w:pPr>
      <w:spacing w:before="160" w:after="160" w:line="320" w:lineRule="exact"/>
    </w:pPr>
    <w:rPr>
      <w:rFonts w:ascii="Segoe UI Semibold" w:hAnsi="Segoe UI Semibold"/>
      <w:color w:val="0074A1"/>
      <w:sz w:val="24"/>
      <w:szCs w:val="24"/>
    </w:rPr>
  </w:style>
  <w:style w:type="character" w:customStyle="1" w:styleId="Heading5Char">
    <w:name w:val="Heading 5 Char"/>
    <w:basedOn w:val="DefaultParagraphFont"/>
    <w:link w:val="Heading5"/>
    <w:uiPriority w:val="9"/>
    <w:semiHidden/>
    <w:rsid w:val="00446483"/>
    <w:rPr>
      <w:rFonts w:ascii="Segoe UI" w:eastAsiaTheme="majorEastAsia" w:hAnsi="Segoe UI" w:cstheme="majorBidi"/>
      <w:i/>
      <w:color w:val="13345C" w:themeColor="accent1" w:themeShade="7F"/>
    </w:rPr>
  </w:style>
  <w:style w:type="paragraph" w:styleId="TOC3">
    <w:name w:val="toc 3"/>
    <w:basedOn w:val="Normal"/>
    <w:next w:val="Normal"/>
    <w:autoRedefine/>
    <w:uiPriority w:val="39"/>
    <w:unhideWhenUsed/>
    <w:rsid w:val="009877C5"/>
    <w:pPr>
      <w:spacing w:after="100"/>
      <w:ind w:left="440"/>
    </w:pPr>
  </w:style>
  <w:style w:type="paragraph" w:styleId="TableofFigures">
    <w:name w:val="table of figures"/>
    <w:basedOn w:val="Normal"/>
    <w:next w:val="Normal"/>
    <w:uiPriority w:val="99"/>
    <w:unhideWhenUsed/>
    <w:rsid w:val="009877C5"/>
    <w:pPr>
      <w:spacing w:after="0"/>
    </w:pPr>
  </w:style>
  <w:style w:type="table" w:styleId="TableGrid">
    <w:name w:val="Table Grid"/>
    <w:basedOn w:val="TableNormal"/>
    <w:uiPriority w:val="59"/>
    <w:rsid w:val="0008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itablestyle">
    <w:name w:val="dpi table style"/>
    <w:basedOn w:val="TableGrid"/>
    <w:uiPriority w:val="99"/>
    <w:rsid w:val="008E4AE7"/>
    <w:pPr>
      <w:spacing w:before="20" w:after="20" w:line="240" w:lineRule="atLeast"/>
    </w:pPr>
    <w:rPr>
      <w:rFonts w:ascii="Segoe UI Semibold" w:hAnsi="Segoe UI Semibold"/>
      <w:color w:val="000000" w:themeColor="text1"/>
      <w:sz w:val="20"/>
    </w:rPr>
    <w:tblPr>
      <w:tblStyleRowBandSize w:val="1"/>
      <w:tblStyleColBandSize w:val="1"/>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CellMar>
        <w:top w:w="85" w:type="dxa"/>
        <w:bottom w:w="85" w:type="dxa"/>
      </w:tblCellMar>
    </w:tblPr>
    <w:tcPr>
      <w:noWrap/>
      <w:tcMar>
        <w:top w:w="57" w:type="dxa"/>
        <w:bottom w:w="57" w:type="dxa"/>
      </w:tcMar>
      <w:vAlign w:val="center"/>
    </w:tcPr>
    <w:tblStylePr w:type="firstRow">
      <w:pPr>
        <w:wordWrap/>
        <w:spacing w:beforeLines="0" w:before="20" w:beforeAutospacing="0" w:afterLines="0" w:after="20" w:afterAutospacing="0" w:line="240" w:lineRule="atLeast"/>
      </w:pPr>
      <w:rPr>
        <w:rFonts w:ascii="Segoe UI" w:hAnsi="Segoe UI"/>
        <w:b/>
        <w:i w:val="0"/>
        <w:color w:val="000000" w:themeColor="text1"/>
        <w:sz w:val="20"/>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FE1" w:themeFill="accent3" w:themeFillTint="66"/>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hemeColor="text1"/>
        </w:tcBorders>
      </w:tcPr>
    </w:tblStylePr>
  </w:style>
  <w:style w:type="table" w:styleId="LightList-Accent3">
    <w:name w:val="Light List Accent 3"/>
    <w:basedOn w:val="TableNormal"/>
    <w:uiPriority w:val="61"/>
    <w:rsid w:val="00F362D5"/>
    <w:pPr>
      <w:spacing w:after="0" w:line="240" w:lineRule="auto"/>
    </w:pPr>
    <w:rPr>
      <w:rFonts w:eastAsiaTheme="minorEastAsia"/>
      <w:lang w:val="en-US" w:eastAsia="ja-JP"/>
    </w:rPr>
    <w:tblPr>
      <w:tblStyleRowBandSize w:val="1"/>
      <w:tblStyleColBandSize w:val="1"/>
      <w:tblBorders>
        <w:top w:val="single" w:sz="8" w:space="0" w:color="B0D8B5" w:themeColor="accent3"/>
        <w:left w:val="single" w:sz="8" w:space="0" w:color="B0D8B5" w:themeColor="accent3"/>
        <w:bottom w:val="single" w:sz="8" w:space="0" w:color="B0D8B5" w:themeColor="accent3"/>
        <w:right w:val="single" w:sz="8" w:space="0" w:color="B0D8B5" w:themeColor="accent3"/>
      </w:tblBorders>
    </w:tblPr>
    <w:tblStylePr w:type="firstRow">
      <w:pPr>
        <w:spacing w:before="0" w:after="0" w:line="240" w:lineRule="auto"/>
      </w:pPr>
      <w:rPr>
        <w:b/>
        <w:bCs/>
        <w:color w:val="FFFFFF" w:themeColor="background1"/>
      </w:rPr>
      <w:tblPr/>
      <w:tcPr>
        <w:shd w:val="clear" w:color="auto" w:fill="B0D8B5" w:themeFill="accent3"/>
      </w:tcPr>
    </w:tblStylePr>
    <w:tblStylePr w:type="lastRow">
      <w:pPr>
        <w:spacing w:before="0" w:after="0" w:line="240" w:lineRule="auto"/>
      </w:pPr>
      <w:rPr>
        <w:b/>
        <w:bCs/>
      </w:rPr>
      <w:tblPr/>
      <w:tcPr>
        <w:tcBorders>
          <w:top w:val="double" w:sz="6" w:space="0" w:color="B0D8B5" w:themeColor="accent3"/>
          <w:left w:val="single" w:sz="8" w:space="0" w:color="B0D8B5" w:themeColor="accent3"/>
          <w:bottom w:val="single" w:sz="8" w:space="0" w:color="B0D8B5" w:themeColor="accent3"/>
          <w:right w:val="single" w:sz="8" w:space="0" w:color="B0D8B5" w:themeColor="accent3"/>
        </w:tcBorders>
      </w:tcPr>
    </w:tblStylePr>
    <w:tblStylePr w:type="firstCol">
      <w:rPr>
        <w:b/>
        <w:bCs/>
      </w:rPr>
    </w:tblStylePr>
    <w:tblStylePr w:type="lastCol">
      <w:rPr>
        <w:b/>
        <w:bCs/>
      </w:rPr>
    </w:tblStylePr>
    <w:tblStylePr w:type="band1Vert">
      <w:tblPr/>
      <w:tcPr>
        <w:tcBorders>
          <w:top w:val="single" w:sz="8" w:space="0" w:color="B0D8B5" w:themeColor="accent3"/>
          <w:left w:val="single" w:sz="8" w:space="0" w:color="B0D8B5" w:themeColor="accent3"/>
          <w:bottom w:val="single" w:sz="8" w:space="0" w:color="B0D8B5" w:themeColor="accent3"/>
          <w:right w:val="single" w:sz="8" w:space="0" w:color="B0D8B5" w:themeColor="accent3"/>
        </w:tcBorders>
      </w:tcPr>
    </w:tblStylePr>
    <w:tblStylePr w:type="band1Horz">
      <w:tblPr/>
      <w:tcPr>
        <w:tcBorders>
          <w:top w:val="single" w:sz="8" w:space="0" w:color="B0D8B5" w:themeColor="accent3"/>
          <w:left w:val="single" w:sz="8" w:space="0" w:color="B0D8B5" w:themeColor="accent3"/>
          <w:bottom w:val="single" w:sz="8" w:space="0" w:color="B0D8B5" w:themeColor="accent3"/>
          <w:right w:val="single" w:sz="8" w:space="0" w:color="B0D8B5" w:themeColor="accent3"/>
        </w:tcBorders>
      </w:tcPr>
    </w:tblStylePr>
  </w:style>
  <w:style w:type="paragraph" w:customStyle="1" w:styleId="Copyright">
    <w:name w:val="Copyright"/>
    <w:basedOn w:val="Normal"/>
    <w:semiHidden/>
    <w:rsid w:val="0094408A"/>
    <w:pPr>
      <w:pBdr>
        <w:top w:val="single" w:sz="4" w:space="6" w:color="008FCC"/>
      </w:pBdr>
      <w:tabs>
        <w:tab w:val="left" w:pos="340"/>
      </w:tabs>
      <w:spacing w:before="60" w:after="80" w:line="180" w:lineRule="exact"/>
    </w:pPr>
    <w:rPr>
      <w:rFonts w:eastAsia="Times New Roman" w:cs="Segoe UI"/>
      <w:color w:val="000000" w:themeColor="text1"/>
      <w:sz w:val="16"/>
      <w:szCs w:val="16"/>
    </w:rPr>
  </w:style>
  <w:style w:type="paragraph" w:customStyle="1" w:styleId="references">
    <w:name w:val="references"/>
    <w:basedOn w:val="Normal"/>
    <w:qFormat/>
    <w:rsid w:val="00F2004A"/>
    <w:pPr>
      <w:ind w:left="567" w:hanging="567"/>
    </w:pPr>
  </w:style>
  <w:style w:type="paragraph" w:styleId="Caption">
    <w:name w:val="caption"/>
    <w:basedOn w:val="Normal"/>
    <w:next w:val="Normal"/>
    <w:uiPriority w:val="35"/>
    <w:unhideWhenUsed/>
    <w:qFormat/>
    <w:rsid w:val="005062CF"/>
    <w:pPr>
      <w:spacing w:before="180" w:after="180" w:line="240" w:lineRule="exact"/>
    </w:pPr>
    <w:rPr>
      <w:rFonts w:ascii="Segoe UI Semibold" w:eastAsia="Times New Roman" w:hAnsi="Segoe UI Semibold" w:cs="Times New Roman"/>
      <w:color w:val="016295" w:themeColor="accent2" w:themeShade="80"/>
    </w:rPr>
  </w:style>
  <w:style w:type="paragraph" w:styleId="TOC2">
    <w:name w:val="toc 2"/>
    <w:basedOn w:val="Normal"/>
    <w:next w:val="Normal"/>
    <w:autoRedefine/>
    <w:uiPriority w:val="39"/>
    <w:unhideWhenUsed/>
    <w:rsid w:val="00516013"/>
    <w:pPr>
      <w:tabs>
        <w:tab w:val="right" w:leader="dot" w:pos="9060"/>
      </w:tabs>
      <w:spacing w:after="100"/>
      <w:ind w:left="220"/>
    </w:pPr>
  </w:style>
  <w:style w:type="paragraph" w:styleId="TOC1">
    <w:name w:val="toc 1"/>
    <w:basedOn w:val="Normal"/>
    <w:next w:val="Normal"/>
    <w:autoRedefine/>
    <w:uiPriority w:val="39"/>
    <w:unhideWhenUsed/>
    <w:rsid w:val="00FA1BCE"/>
    <w:pPr>
      <w:tabs>
        <w:tab w:val="right" w:leader="dot" w:pos="9060"/>
      </w:tabs>
      <w:spacing w:before="0" w:after="0"/>
    </w:pPr>
    <w:rPr>
      <w:noProof/>
    </w:rPr>
  </w:style>
  <w:style w:type="paragraph" w:customStyle="1" w:styleId="SeriesTitle">
    <w:name w:val="Series Title"/>
    <w:basedOn w:val="Normal"/>
    <w:qFormat/>
    <w:rsid w:val="00013712"/>
    <w:pPr>
      <w:numPr>
        <w:numId w:val="29"/>
      </w:numPr>
      <w:pBdr>
        <w:top w:val="single" w:sz="48" w:space="31" w:color="3A4C62" w:themeColor="text2"/>
        <w:left w:val="single" w:sz="48" w:space="31" w:color="3A4C62" w:themeColor="text2"/>
        <w:bottom w:val="single" w:sz="48" w:space="31" w:color="3A4C62" w:themeColor="text2"/>
        <w:right w:val="single" w:sz="48" w:space="31" w:color="3A4C62" w:themeColor="text2"/>
      </w:pBdr>
      <w:shd w:val="clear" w:color="auto" w:fill="3A4C62" w:themeFill="text2"/>
      <w:spacing w:before="0" w:after="240" w:line="240" w:lineRule="auto"/>
      <w:ind w:right="-1134"/>
      <w:outlineLvl w:val="0"/>
    </w:pPr>
    <w:rPr>
      <w:rFonts w:ascii="Segoe UI Light" w:hAnsi="Segoe UI Light" w:cs="Segoe UI"/>
      <w:color w:val="FFFFFF" w:themeColor="background1"/>
      <w:sz w:val="34"/>
      <w:szCs w:val="34"/>
    </w:rPr>
  </w:style>
  <w:style w:type="paragraph" w:customStyle="1" w:styleId="silentheading">
    <w:name w:val="silent heading"/>
    <w:qFormat/>
    <w:rsid w:val="001C33C1"/>
    <w:pPr>
      <w:spacing w:before="360"/>
    </w:pPr>
    <w:rPr>
      <w:rFonts w:ascii="Segoe UI" w:hAnsi="Segoe UI" w:cs="Segoe UI"/>
      <w:b/>
      <w:color w:val="0074A1"/>
      <w:sz w:val="28"/>
      <w:szCs w:val="28"/>
    </w:rPr>
  </w:style>
  <w:style w:type="paragraph" w:customStyle="1" w:styleId="imprintheading">
    <w:name w:val="imprint heading"/>
    <w:basedOn w:val="Normal"/>
    <w:qFormat/>
    <w:rsid w:val="00516013"/>
    <w:rPr>
      <w:b/>
      <w:sz w:val="20"/>
      <w:szCs w:val="20"/>
    </w:rPr>
  </w:style>
  <w:style w:type="paragraph" w:customStyle="1" w:styleId="imprinttext">
    <w:name w:val="imprint text"/>
    <w:basedOn w:val="Normal"/>
    <w:qFormat/>
    <w:rsid w:val="00516013"/>
    <w:rPr>
      <w:sz w:val="20"/>
      <w:szCs w:val="20"/>
    </w:rPr>
  </w:style>
  <w:style w:type="paragraph" w:customStyle="1" w:styleId="copyrightdisclaimer">
    <w:name w:val="copyright / disclaimer"/>
    <w:basedOn w:val="Copyright"/>
    <w:qFormat/>
    <w:rsid w:val="00516013"/>
  </w:style>
  <w:style w:type="character" w:customStyle="1" w:styleId="Heading4Char">
    <w:name w:val="Heading 4 Char"/>
    <w:basedOn w:val="DefaultParagraphFont"/>
    <w:link w:val="Heading4"/>
    <w:uiPriority w:val="9"/>
    <w:rsid w:val="00446483"/>
    <w:rPr>
      <w:rFonts w:ascii="Segoe UI" w:hAnsi="Segoe UI"/>
      <w:b/>
    </w:rPr>
  </w:style>
  <w:style w:type="character" w:styleId="PlaceholderText">
    <w:name w:val="Placeholder Text"/>
    <w:basedOn w:val="DefaultParagraphFont"/>
    <w:uiPriority w:val="99"/>
    <w:semiHidden/>
    <w:rsid w:val="0060585F"/>
    <w:rPr>
      <w:color w:val="808080"/>
    </w:rPr>
  </w:style>
  <w:style w:type="paragraph" w:customStyle="1" w:styleId="featuretexthead">
    <w:name w:val="feature text head"/>
    <w:basedOn w:val="Normal"/>
    <w:qFormat/>
    <w:rsid w:val="00227EA0"/>
    <w:pPr>
      <w:spacing w:line="300" w:lineRule="atLeast"/>
    </w:pPr>
    <w:rPr>
      <w:b/>
      <w:color w:val="02747E" w:themeColor="accent6" w:themeShade="80"/>
      <w:sz w:val="24"/>
    </w:rPr>
  </w:style>
  <w:style w:type="paragraph" w:customStyle="1" w:styleId="tabletext">
    <w:name w:val="table text"/>
    <w:basedOn w:val="bullet2"/>
    <w:qFormat/>
    <w:rsid w:val="00452306"/>
    <w:pPr>
      <w:numPr>
        <w:numId w:val="0"/>
      </w:numPr>
      <w:spacing w:before="5" w:after="5" w:line="240" w:lineRule="exact"/>
    </w:pPr>
    <w:rPr>
      <w:sz w:val="20"/>
      <w:szCs w:val="20"/>
    </w:rPr>
  </w:style>
  <w:style w:type="paragraph" w:customStyle="1" w:styleId="tableheadertext">
    <w:name w:val="table header text"/>
    <w:basedOn w:val="bullet2"/>
    <w:qFormat/>
    <w:rsid w:val="008A5AD6"/>
    <w:pPr>
      <w:numPr>
        <w:numId w:val="0"/>
      </w:numPr>
      <w:spacing w:beforeLines="25" w:before="25" w:afterLines="25" w:after="25" w:line="240" w:lineRule="exact"/>
    </w:pPr>
    <w:rPr>
      <w:rFonts w:ascii="Segoe UI Semibold" w:hAnsi="Segoe UI Semibold" w:cs="Segoe UI"/>
      <w:b/>
      <w:color w:val="000000" w:themeColor="text1"/>
      <w:sz w:val="20"/>
      <w:szCs w:val="20"/>
    </w:rPr>
  </w:style>
  <w:style w:type="table" w:styleId="LightShading">
    <w:name w:val="Light Shading"/>
    <w:basedOn w:val="TableNormal"/>
    <w:uiPriority w:val="60"/>
    <w:rsid w:val="005D43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21D94"/>
    <w:pPr>
      <w:spacing w:after="0" w:line="240" w:lineRule="auto"/>
    </w:pPr>
    <w:rPr>
      <w:color w:val="1D4F8B" w:themeColor="accent1" w:themeShade="BF"/>
    </w:rPr>
    <w:tblPr>
      <w:tblStyleRowBandSize w:val="1"/>
      <w:tblStyleColBandSize w:val="1"/>
      <w:tblBorders>
        <w:top w:val="single" w:sz="8" w:space="0" w:color="276ABB" w:themeColor="accent1"/>
        <w:bottom w:val="single" w:sz="8" w:space="0" w:color="276ABB" w:themeColor="accent1"/>
      </w:tblBorders>
    </w:tblPr>
    <w:tblStylePr w:type="firstRow">
      <w:pPr>
        <w:spacing w:before="0" w:after="0" w:line="240" w:lineRule="auto"/>
      </w:pPr>
      <w:rPr>
        <w:b/>
        <w:bCs/>
      </w:rPr>
      <w:tblPr/>
      <w:tcPr>
        <w:tcBorders>
          <w:top w:val="single" w:sz="8" w:space="0" w:color="276ABB" w:themeColor="accent1"/>
          <w:left w:val="nil"/>
          <w:bottom w:val="single" w:sz="8" w:space="0" w:color="276ABB" w:themeColor="accent1"/>
          <w:right w:val="nil"/>
          <w:insideH w:val="nil"/>
          <w:insideV w:val="nil"/>
        </w:tcBorders>
      </w:tcPr>
    </w:tblStylePr>
    <w:tblStylePr w:type="lastRow">
      <w:pPr>
        <w:spacing w:before="0" w:after="0" w:line="240" w:lineRule="auto"/>
      </w:pPr>
      <w:rPr>
        <w:b/>
        <w:bCs/>
      </w:rPr>
      <w:tblPr/>
      <w:tcPr>
        <w:tcBorders>
          <w:top w:val="single" w:sz="8" w:space="0" w:color="276ABB" w:themeColor="accent1"/>
          <w:left w:val="nil"/>
          <w:bottom w:val="single" w:sz="8" w:space="0" w:color="276AB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9F3" w:themeFill="accent1" w:themeFillTint="3F"/>
      </w:tcPr>
    </w:tblStylePr>
    <w:tblStylePr w:type="band1Horz">
      <w:tblPr/>
      <w:tcPr>
        <w:tcBorders>
          <w:left w:val="nil"/>
          <w:right w:val="nil"/>
          <w:insideH w:val="nil"/>
          <w:insideV w:val="nil"/>
        </w:tcBorders>
        <w:shd w:val="clear" w:color="auto" w:fill="C4D9F3" w:themeFill="accent1" w:themeFillTint="3F"/>
      </w:tcPr>
    </w:tblStylePr>
  </w:style>
  <w:style w:type="table" w:styleId="LightShading-Accent6">
    <w:name w:val="Light Shading Accent 6"/>
    <w:basedOn w:val="TableNormal"/>
    <w:uiPriority w:val="60"/>
    <w:rsid w:val="004007DA"/>
    <w:pPr>
      <w:spacing w:after="0" w:line="240" w:lineRule="auto"/>
    </w:pPr>
    <w:rPr>
      <w:color w:val="03AEBC" w:themeColor="accent6" w:themeShade="BF"/>
    </w:rPr>
    <w:tblPr>
      <w:tblStyleRowBandSize w:val="1"/>
      <w:tblStyleColBandSize w:val="1"/>
      <w:tblBorders>
        <w:top w:val="single" w:sz="8" w:space="0" w:color="05E9FB" w:themeColor="accent6"/>
        <w:bottom w:val="single" w:sz="8" w:space="0" w:color="05E9FB" w:themeColor="accent6"/>
      </w:tblBorders>
    </w:tblPr>
    <w:tblStylePr w:type="firstRow">
      <w:pPr>
        <w:spacing w:before="0" w:after="0" w:line="240" w:lineRule="auto"/>
      </w:pPr>
      <w:rPr>
        <w:b/>
        <w:bCs/>
      </w:rPr>
      <w:tblPr/>
      <w:tcPr>
        <w:tcBorders>
          <w:top w:val="single" w:sz="8" w:space="0" w:color="05E9FB" w:themeColor="accent6"/>
          <w:left w:val="nil"/>
          <w:bottom w:val="single" w:sz="8" w:space="0" w:color="05E9FB" w:themeColor="accent6"/>
          <w:right w:val="nil"/>
          <w:insideH w:val="nil"/>
          <w:insideV w:val="nil"/>
        </w:tcBorders>
      </w:tcPr>
    </w:tblStylePr>
    <w:tblStylePr w:type="lastRow">
      <w:pPr>
        <w:spacing w:before="0" w:after="0" w:line="240" w:lineRule="auto"/>
      </w:pPr>
      <w:rPr>
        <w:b/>
        <w:bCs/>
      </w:rPr>
      <w:tblPr/>
      <w:tcPr>
        <w:tcBorders>
          <w:top w:val="single" w:sz="8" w:space="0" w:color="05E9FB" w:themeColor="accent6"/>
          <w:left w:val="nil"/>
          <w:bottom w:val="single" w:sz="8" w:space="0" w:color="05E9F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9FE" w:themeFill="accent6" w:themeFillTint="3F"/>
      </w:tcPr>
    </w:tblStylePr>
    <w:tblStylePr w:type="band1Horz">
      <w:tblPr/>
      <w:tcPr>
        <w:tcBorders>
          <w:left w:val="nil"/>
          <w:right w:val="nil"/>
          <w:insideH w:val="nil"/>
          <w:insideV w:val="nil"/>
        </w:tcBorders>
        <w:shd w:val="clear" w:color="auto" w:fill="C1F9FE" w:themeFill="accent6" w:themeFillTint="3F"/>
      </w:tcPr>
    </w:tblStylePr>
  </w:style>
  <w:style w:type="table" w:styleId="LightShading-Accent2">
    <w:name w:val="Light Shading Accent 2"/>
    <w:basedOn w:val="TableGrid"/>
    <w:uiPriority w:val="60"/>
    <w:rsid w:val="004007DA"/>
    <w:rPr>
      <w:color w:val="0292DF" w:themeColor="accent2" w:themeShade="BF"/>
    </w:rPr>
    <w:tblPr>
      <w:tblStyleRowBandSize w:val="1"/>
      <w:tblStyleColBandSize w:val="1"/>
      <w:tblBorders>
        <w:top w:val="single" w:sz="8" w:space="0" w:color="31B6FD" w:themeColor="accent2"/>
        <w:left w:val="none" w:sz="0" w:space="0" w:color="auto"/>
        <w:bottom w:val="single" w:sz="8" w:space="0" w:color="31B6FD" w:themeColor="accent2"/>
        <w:right w:val="none" w:sz="0" w:space="0" w:color="auto"/>
        <w:insideH w:val="none" w:sz="0" w:space="0" w:color="auto"/>
        <w:insideV w:val="none" w:sz="0" w:space="0" w:color="auto"/>
      </w:tblBorders>
    </w:tblPr>
    <w:tblStylePr w:type="firstRow">
      <w:pPr>
        <w:spacing w:before="0" w:after="0" w:line="240" w:lineRule="auto"/>
      </w:pPr>
      <w:rPr>
        <w:b/>
        <w:bCs/>
      </w:rPr>
      <w:tblPr/>
      <w:tcPr>
        <w:tcBorders>
          <w:top w:val="single" w:sz="8" w:space="0" w:color="31B6FD" w:themeColor="accent2"/>
          <w:left w:val="nil"/>
          <w:bottom w:val="single" w:sz="8" w:space="0" w:color="31B6FD" w:themeColor="accent2"/>
          <w:right w:val="nil"/>
          <w:insideH w:val="nil"/>
          <w:insideV w:val="nil"/>
        </w:tcBorders>
      </w:tcPr>
    </w:tblStylePr>
    <w:tblStylePr w:type="lastRow">
      <w:pPr>
        <w:spacing w:before="0" w:after="0" w:line="240" w:lineRule="auto"/>
      </w:pPr>
      <w:rPr>
        <w:b/>
        <w:bCs/>
      </w:rPr>
      <w:tblPr/>
      <w:tcPr>
        <w:tcBorders>
          <w:top w:val="single" w:sz="8" w:space="0" w:color="31B6FD" w:themeColor="accent2"/>
          <w:left w:val="nil"/>
          <w:bottom w:val="single" w:sz="8" w:space="0" w:color="31B6F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hemeFill="accent2" w:themeFillTint="3F"/>
      </w:tcPr>
    </w:tblStylePr>
    <w:tblStylePr w:type="band1Horz">
      <w:tblPr/>
      <w:tcPr>
        <w:tcBorders>
          <w:left w:val="nil"/>
          <w:right w:val="nil"/>
          <w:insideH w:val="nil"/>
          <w:insideV w:val="nil"/>
        </w:tcBorders>
        <w:shd w:val="clear" w:color="auto" w:fill="CBECFE" w:themeFill="accent2" w:themeFillTint="3F"/>
      </w:tcPr>
    </w:tblStylePr>
  </w:style>
  <w:style w:type="paragraph" w:styleId="FootnoteText">
    <w:name w:val="footnote text"/>
    <w:basedOn w:val="Normal"/>
    <w:link w:val="FootnoteTextChar"/>
    <w:uiPriority w:val="99"/>
    <w:unhideWhenUsed/>
    <w:rsid w:val="00FE47ED"/>
    <w:pPr>
      <w:spacing w:before="0" w:after="0" w:line="240" w:lineRule="auto"/>
    </w:pPr>
    <w:rPr>
      <w:rFonts w:asciiTheme="minorHAnsi" w:eastAsiaTheme="minorEastAsia" w:hAnsiTheme="minorHAnsi"/>
      <w:sz w:val="20"/>
      <w:szCs w:val="20"/>
      <w:lang w:val="en-US" w:eastAsia="ja-JP"/>
    </w:rPr>
  </w:style>
  <w:style w:type="character" w:customStyle="1" w:styleId="FootnoteTextChar">
    <w:name w:val="Footnote Text Char"/>
    <w:basedOn w:val="DefaultParagraphFont"/>
    <w:link w:val="FootnoteText"/>
    <w:uiPriority w:val="99"/>
    <w:rsid w:val="00446483"/>
    <w:rPr>
      <w:rFonts w:eastAsiaTheme="minorEastAsia"/>
      <w:sz w:val="20"/>
      <w:szCs w:val="20"/>
      <w:lang w:val="en-US" w:eastAsia="ja-JP"/>
    </w:rPr>
  </w:style>
  <w:style w:type="table" w:styleId="MediumList2-Accent1">
    <w:name w:val="Medium List 2 Accent 1"/>
    <w:basedOn w:val="TableNormal"/>
    <w:uiPriority w:val="66"/>
    <w:rsid w:val="002467F0"/>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276ABB" w:themeColor="accent1"/>
        <w:left w:val="single" w:sz="8" w:space="0" w:color="276ABB" w:themeColor="accent1"/>
        <w:bottom w:val="single" w:sz="8" w:space="0" w:color="276ABB" w:themeColor="accent1"/>
        <w:right w:val="single" w:sz="8" w:space="0" w:color="276ABB" w:themeColor="accent1"/>
      </w:tblBorders>
    </w:tblPr>
    <w:tblStylePr w:type="firstRow">
      <w:rPr>
        <w:sz w:val="24"/>
        <w:szCs w:val="24"/>
      </w:rPr>
      <w:tblPr/>
      <w:tcPr>
        <w:tcBorders>
          <w:top w:val="nil"/>
          <w:left w:val="nil"/>
          <w:bottom w:val="single" w:sz="24" w:space="0" w:color="276ABB" w:themeColor="accent1"/>
          <w:right w:val="nil"/>
          <w:insideH w:val="nil"/>
          <w:insideV w:val="nil"/>
        </w:tcBorders>
        <w:shd w:val="clear" w:color="auto" w:fill="FFFFFF" w:themeFill="background1"/>
      </w:tcPr>
    </w:tblStylePr>
    <w:tblStylePr w:type="lastRow">
      <w:tblPr/>
      <w:tcPr>
        <w:tcBorders>
          <w:top w:val="single" w:sz="8" w:space="0" w:color="276AB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6ABB" w:themeColor="accent1"/>
          <w:insideH w:val="nil"/>
          <w:insideV w:val="nil"/>
        </w:tcBorders>
        <w:shd w:val="clear" w:color="auto" w:fill="FFFFFF" w:themeFill="background1"/>
      </w:tcPr>
    </w:tblStylePr>
    <w:tblStylePr w:type="lastCol">
      <w:tblPr/>
      <w:tcPr>
        <w:tcBorders>
          <w:top w:val="nil"/>
          <w:left w:val="single" w:sz="8" w:space="0" w:color="276AB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9F3" w:themeFill="accent1" w:themeFillTint="3F"/>
      </w:tcPr>
    </w:tblStylePr>
    <w:tblStylePr w:type="band1Horz">
      <w:tblPr/>
      <w:tcPr>
        <w:tcBorders>
          <w:top w:val="nil"/>
          <w:bottom w:val="nil"/>
          <w:insideH w:val="nil"/>
          <w:insideV w:val="nil"/>
        </w:tcBorders>
        <w:shd w:val="clear" w:color="auto" w:fill="C4D9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unhideWhenUsed/>
    <w:qFormat/>
    <w:rsid w:val="009307BD"/>
    <w:pPr>
      <w:spacing w:after="0" w:line="240" w:lineRule="auto"/>
    </w:pPr>
    <w:rPr>
      <w:rFonts w:ascii="Segoe UI" w:hAnsi="Segoe UI"/>
    </w:rPr>
  </w:style>
  <w:style w:type="table" w:customStyle="1" w:styleId="DPIFirstpagebanner">
    <w:name w:val="DPI First page banner"/>
    <w:basedOn w:val="TableNormal"/>
    <w:uiPriority w:val="99"/>
    <w:rsid w:val="006E6FD0"/>
    <w:pPr>
      <w:spacing w:after="0" w:line="240" w:lineRule="auto"/>
    </w:pPr>
    <w:tblPr>
      <w:tblCellMar>
        <w:top w:w="567" w:type="dxa"/>
        <w:left w:w="1418" w:type="dxa"/>
        <w:bottom w:w="567" w:type="dxa"/>
        <w:right w:w="1418" w:type="dxa"/>
      </w:tblCellMar>
    </w:tblPr>
    <w:tcPr>
      <w:shd w:val="clear" w:color="auto" w:fill="3A4C62" w:themeFill="text2"/>
    </w:tcPr>
  </w:style>
  <w:style w:type="paragraph" w:styleId="Title">
    <w:name w:val="Title"/>
    <w:basedOn w:val="SeriesTitle"/>
    <w:next w:val="Normal"/>
    <w:link w:val="TitleChar"/>
    <w:uiPriority w:val="10"/>
    <w:qFormat/>
    <w:rsid w:val="00013712"/>
    <w:pPr>
      <w:numPr>
        <w:ilvl w:val="1"/>
      </w:numPr>
      <w:spacing w:after="140"/>
      <w:contextualSpacing/>
    </w:pPr>
    <w:rPr>
      <w:rFonts w:ascii="Segoe WP Semibold" w:hAnsi="Segoe WP Semibold"/>
      <w:b/>
      <w:color w:val="9AF6FD" w:themeColor="accent6" w:themeTint="66"/>
    </w:rPr>
  </w:style>
  <w:style w:type="character" w:customStyle="1" w:styleId="TitleChar">
    <w:name w:val="Title Char"/>
    <w:basedOn w:val="DefaultParagraphFont"/>
    <w:link w:val="Title"/>
    <w:uiPriority w:val="10"/>
    <w:rsid w:val="00013712"/>
    <w:rPr>
      <w:rFonts w:ascii="Segoe WP Semibold" w:hAnsi="Segoe WP Semibold" w:cs="Segoe UI"/>
      <w:b/>
      <w:color w:val="9AF6FD" w:themeColor="accent6" w:themeTint="66"/>
      <w:sz w:val="34"/>
      <w:szCs w:val="34"/>
      <w:shd w:val="clear" w:color="auto" w:fill="3A4C62" w:themeFill="text2"/>
    </w:rPr>
  </w:style>
  <w:style w:type="paragraph" w:customStyle="1" w:styleId="FooterBanner">
    <w:name w:val="Footer Banner"/>
    <w:basedOn w:val="Footer"/>
    <w:link w:val="FooterBannerChar"/>
    <w:qFormat/>
    <w:rsid w:val="00D92D85"/>
    <w:pPr>
      <w:framePr w:wrap="around" w:vAnchor="page" w:hAnchor="page" w:yAlign="bottom" w:anchorLock="1"/>
    </w:pPr>
    <w:rPr>
      <w:noProof/>
      <w:lang w:eastAsia="en-AU"/>
    </w:rPr>
  </w:style>
  <w:style w:type="table" w:customStyle="1" w:styleId="Blank">
    <w:name w:val="Blank"/>
    <w:basedOn w:val="TableNormal"/>
    <w:uiPriority w:val="99"/>
    <w:rsid w:val="002511BC"/>
    <w:pPr>
      <w:spacing w:after="0" w:line="240" w:lineRule="auto"/>
    </w:pPr>
    <w:tblPr/>
  </w:style>
  <w:style w:type="character" w:customStyle="1" w:styleId="FooterBannerChar">
    <w:name w:val="Footer Banner Char"/>
    <w:basedOn w:val="FooterChar"/>
    <w:link w:val="FooterBanner"/>
    <w:rsid w:val="00D92D85"/>
    <w:rPr>
      <w:rFonts w:ascii="Segoe UI" w:hAnsi="Segoe UI"/>
      <w:noProof/>
      <w:color w:val="02747E" w:themeColor="accent6" w:themeShade="80"/>
      <w:sz w:val="18"/>
      <w:lang w:eastAsia="en-AU"/>
    </w:rPr>
  </w:style>
  <w:style w:type="paragraph" w:customStyle="1" w:styleId="CopyrightDisclaimerBox">
    <w:name w:val="Copyright / Disclaimer Box"/>
    <w:basedOn w:val="Normal"/>
    <w:link w:val="CopyrightDisclaimerBoxChar"/>
    <w:qFormat/>
    <w:rsid w:val="002511BC"/>
    <w:pPr>
      <w:framePr w:wrap="around" w:hAnchor="page" w:yAlign="bottom" w:anchorLock="1"/>
    </w:pPr>
  </w:style>
  <w:style w:type="character" w:customStyle="1" w:styleId="CopyrightDisclaimerBoxChar">
    <w:name w:val="Copyright / Disclaimer Box Char"/>
    <w:basedOn w:val="DefaultParagraphFont"/>
    <w:link w:val="CopyrightDisclaimerBox"/>
    <w:rsid w:val="002511BC"/>
    <w:rPr>
      <w:rFonts w:ascii="Segoe UI" w:hAnsi="Segoe UI"/>
    </w:rPr>
  </w:style>
  <w:style w:type="paragraph" w:customStyle="1" w:styleId="Banner">
    <w:name w:val="Banner"/>
    <w:basedOn w:val="Header"/>
    <w:link w:val="BannerChar"/>
    <w:qFormat/>
    <w:rsid w:val="00A02344"/>
    <w:pPr>
      <w:ind w:left="-1418" w:right="-1418"/>
      <w:jc w:val="left"/>
    </w:pPr>
  </w:style>
  <w:style w:type="character" w:customStyle="1" w:styleId="BannerChar">
    <w:name w:val="Banner Char"/>
    <w:basedOn w:val="HeaderChar"/>
    <w:link w:val="Banner"/>
    <w:rsid w:val="00A02344"/>
    <w:rPr>
      <w:rFonts w:ascii="Segoe UI" w:hAnsi="Segoe UI"/>
      <w:color w:val="0070C0"/>
      <w:sz w:val="18"/>
    </w:rPr>
  </w:style>
  <w:style w:type="numbering" w:customStyle="1" w:styleId="Titles">
    <w:name w:val="Titles"/>
    <w:uiPriority w:val="99"/>
    <w:rsid w:val="000D156D"/>
    <w:pPr>
      <w:numPr>
        <w:numId w:val="27"/>
      </w:numPr>
    </w:pPr>
  </w:style>
  <w:style w:type="paragraph" w:styleId="CommentText">
    <w:name w:val="annotation text"/>
    <w:basedOn w:val="Normal"/>
    <w:link w:val="CommentTextChar"/>
    <w:semiHidden/>
    <w:unhideWhenUsed/>
    <w:rsid w:val="00F133C4"/>
    <w:pPr>
      <w:spacing w:line="240" w:lineRule="auto"/>
    </w:pPr>
    <w:rPr>
      <w:sz w:val="20"/>
      <w:szCs w:val="20"/>
    </w:rPr>
  </w:style>
  <w:style w:type="character" w:customStyle="1" w:styleId="CommentTextChar">
    <w:name w:val="Comment Text Char"/>
    <w:basedOn w:val="DefaultParagraphFont"/>
    <w:link w:val="CommentText"/>
    <w:semiHidden/>
    <w:rsid w:val="00F133C4"/>
    <w:rPr>
      <w:rFonts w:ascii="Segoe UI" w:hAnsi="Segoe UI"/>
      <w:sz w:val="20"/>
      <w:szCs w:val="20"/>
    </w:rPr>
  </w:style>
  <w:style w:type="character" w:styleId="CommentReference">
    <w:name w:val="annotation reference"/>
    <w:semiHidden/>
    <w:rsid w:val="00F133C4"/>
    <w:rPr>
      <w:sz w:val="16"/>
      <w:szCs w:val="16"/>
    </w:rPr>
  </w:style>
  <w:style w:type="paragraph" w:customStyle="1" w:styleId="TableParagraph">
    <w:name w:val="Table Paragraph"/>
    <w:basedOn w:val="Normal"/>
    <w:uiPriority w:val="1"/>
    <w:qFormat/>
    <w:rsid w:val="00953174"/>
    <w:pPr>
      <w:widowControl w:val="0"/>
      <w:autoSpaceDE w:val="0"/>
      <w:autoSpaceDN w:val="0"/>
      <w:spacing w:before="0" w:after="0" w:line="240" w:lineRule="auto"/>
    </w:pPr>
    <w:rPr>
      <w:rFonts w:ascii="Calibri" w:eastAsia="Calibri" w:hAnsi="Calibri" w:cs="Calibri"/>
      <w:lang w:val="en-US"/>
    </w:rPr>
  </w:style>
  <w:style w:type="paragraph" w:styleId="CommentSubject">
    <w:name w:val="annotation subject"/>
    <w:basedOn w:val="CommentText"/>
    <w:next w:val="CommentText"/>
    <w:link w:val="CommentSubjectChar"/>
    <w:uiPriority w:val="99"/>
    <w:semiHidden/>
    <w:unhideWhenUsed/>
    <w:rsid w:val="00F36475"/>
    <w:rPr>
      <w:b/>
      <w:bCs/>
    </w:rPr>
  </w:style>
  <w:style w:type="character" w:customStyle="1" w:styleId="CommentSubjectChar">
    <w:name w:val="Comment Subject Char"/>
    <w:basedOn w:val="CommentTextChar"/>
    <w:link w:val="CommentSubject"/>
    <w:uiPriority w:val="99"/>
    <w:semiHidden/>
    <w:rsid w:val="00F36475"/>
    <w:rPr>
      <w:rFonts w:ascii="Segoe UI" w:hAnsi="Segoe UI"/>
      <w:b/>
      <w:bCs/>
      <w:sz w:val="20"/>
      <w:szCs w:val="20"/>
    </w:rPr>
  </w:style>
  <w:style w:type="character" w:styleId="UnresolvedMention">
    <w:name w:val="Unresolved Mention"/>
    <w:basedOn w:val="DefaultParagraphFont"/>
    <w:uiPriority w:val="99"/>
    <w:semiHidden/>
    <w:unhideWhenUsed/>
    <w:rsid w:val="00137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farmbiosecurity.com.au/toolkit/record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dpi.nsw.gov.au/__data/assets/pdf_file/0008/723617/Generic-Biosecurity-Permit-Application.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dpi.nsw.gov.au/animals-and-livestock/stock-movements/documentation/tss-questions-answer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pi.nsw.gov.au/__data/assets/pdf_file/0011/723755/Cattle-tick-Collection-and-Storage-of-Cattle-Ticks-found-on-livestock.pdf" TargetMode="External"/><Relationship Id="rId20" Type="http://schemas.openxmlformats.org/officeDocument/2006/relationships/hyperlink" Target="https://www.farmbiosecurity.com.au/wp-content/uploads/2019/03/Stock-Receival-and-Inspection-For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business.qld.gov.au/industries/farms-fishing-forestry/agriculture/livestock/livestock-movement/cattle-tick-zones/accredited-certifier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enja\Downloads\DPI-short-publication-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6E3D087AFE48EFBFCC7414CFDAD2FC"/>
        <w:category>
          <w:name w:val="General"/>
          <w:gallery w:val="placeholder"/>
        </w:category>
        <w:types>
          <w:type w:val="bbPlcHdr"/>
        </w:types>
        <w:behaviors>
          <w:behavior w:val="content"/>
        </w:behaviors>
        <w:guid w:val="{0747AB85-9FA1-424E-94F5-B9B062FCF121}"/>
      </w:docPartPr>
      <w:docPartBody>
        <w:p w:rsidR="008B485C" w:rsidRDefault="00474F4B">
          <w:pPr>
            <w:pStyle w:val="686E3D087AFE48EFBFCC7414CFDAD2FC"/>
          </w:pPr>
          <w:r w:rsidRPr="00E35D15">
            <w:rPr>
              <w:rStyle w:val="PlaceholderText"/>
              <w:highlight w:val="lightGray"/>
            </w:rPr>
            <w:t>[</w:t>
          </w:r>
          <w:r w:rsidRPr="00E35D15">
            <w:rPr>
              <w:highlight w:val="lightGray"/>
            </w:rPr>
            <w:t>Click to write your introduction paragraph in this document control container. It will reside in the metadata field File &gt; Properties &gt; Subject. Use good keywords and make it a concise summary of your publication. Delete if not required by clicking once to select this text, and pressing the delete or backspace button</w:t>
          </w:r>
          <w:r>
            <w:rPr>
              <w:highlight w:val="lightGray"/>
            </w:rPr>
            <w:t xml:space="preserve"> twice. Please note: the metadata text will only update when the file is saved and closed. To re-insert linked introduction text once this has been deleted, select ‘Insert &gt; Introduction text’. If text has been added, and then the entire field needs to be deleted, delete the text within the field only, save and close, open again and delete the whole field.</w:t>
          </w:r>
          <w:r w:rsidRPr="00E35D15">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WP Semibold">
    <w:altName w:val="Segoe UI Semibold"/>
    <w:charset w:val="00"/>
    <w:family w:val="swiss"/>
    <w:pitch w:val="variable"/>
    <w:sig w:usb0="00000001" w:usb1="100000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4B"/>
    <w:rsid w:val="003F5C51"/>
    <w:rsid w:val="00474F4B"/>
    <w:rsid w:val="00741F39"/>
    <w:rsid w:val="00816AA0"/>
    <w:rsid w:val="008319E4"/>
    <w:rsid w:val="008B485C"/>
    <w:rsid w:val="00B5785F"/>
    <w:rsid w:val="00CA0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6E3D087AFE48EFBFCC7414CFDAD2FC">
    <w:name w:val="686E3D087AFE48EFBFCC7414CFDAD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dpi-template-theme-colours">
      <a:dk1>
        <a:sysClr val="windowText" lastClr="000000"/>
      </a:dk1>
      <a:lt1>
        <a:srgbClr val="FFFFFF"/>
      </a:lt1>
      <a:dk2>
        <a:srgbClr val="3A4C62"/>
      </a:dk2>
      <a:lt2>
        <a:srgbClr val="FFFFFF"/>
      </a:lt2>
      <a:accent1>
        <a:srgbClr val="276ABB"/>
      </a:accent1>
      <a:accent2>
        <a:srgbClr val="31B6FD"/>
      </a:accent2>
      <a:accent3>
        <a:srgbClr val="B0D8B5"/>
      </a:accent3>
      <a:accent4>
        <a:srgbClr val="8BB022"/>
      </a:accent4>
      <a:accent5>
        <a:srgbClr val="F7D03F"/>
      </a:accent5>
      <a:accent6>
        <a:srgbClr val="05E9FB"/>
      </a:accent6>
      <a:hlink>
        <a:srgbClr val="0075EA"/>
      </a:hlink>
      <a:folHlink>
        <a:srgbClr val="5EAEFF"/>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DA75E-D2BD-45BF-AF3B-F2ABFFF3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DPI-short-publication-template (1).dotx</Template>
  <TotalTime>41</TotalTime>
  <Pages>5</Pages>
  <Words>1095</Words>
  <Characters>5873</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Cattle tick risk management plan template for NSW feedlots</vt:lpstr>
    </vt:vector>
  </TitlesOfParts>
  <Company>NSW Department of Primary Industries</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tick risk management plan template for NSW feedlots</dc:title>
  <dc:subject>This cattle tick management plan is being implemented in full in order to be eligible for concessional movement requirements for cattle moving to the feedlot from cattle tick infested areas. This plan will be incorporated into the Quality Assurance protocols for the feedlot and will be audited regularly</dc:subject>
  <dc:creator>Jane Brien</dc:creator>
  <cp:lastModifiedBy>Cath Gaudron</cp:lastModifiedBy>
  <cp:revision>2</cp:revision>
  <cp:lastPrinted>2018-02-15T23:49:00Z</cp:lastPrinted>
  <dcterms:created xsi:type="dcterms:W3CDTF">2020-10-02T02:25:00Z</dcterms:created>
  <dcterms:modified xsi:type="dcterms:W3CDTF">2020-10-02T02:25:00Z</dcterms:modified>
</cp:coreProperties>
</file>